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EB0536" w:rsidP="00EB0536">
      <w:pPr>
        <w:jc w:val="center"/>
        <w:rPr>
          <w:b/>
        </w:rPr>
      </w:pPr>
      <w:r>
        <w:rPr>
          <w:b/>
        </w:rPr>
        <w:t>Net Operating Losses</w:t>
      </w:r>
    </w:p>
    <w:p w:rsidR="00EB0536" w:rsidRDefault="00EB0536" w:rsidP="00EB0536">
      <w:r>
        <w:t xml:space="preserve">Our economy is </w:t>
      </w:r>
      <w:r w:rsidR="00A76103">
        <w:t>in dire straits</w:t>
      </w:r>
      <w:r>
        <w:t>. Businesses are failing</w:t>
      </w:r>
      <w:r w:rsidR="00A76103">
        <w:t>. For the first time after years of profit; i</w:t>
      </w:r>
      <w:r>
        <w:t>ndividuals, flow-through entities, and corporations are experiencing loss years</w:t>
      </w:r>
      <w:r w:rsidR="00A76103">
        <w:t>.</w:t>
      </w:r>
    </w:p>
    <w:p w:rsidR="00EB0536" w:rsidRDefault="00EB0536" w:rsidP="00EB0536">
      <w:r>
        <w:t>The computing and reporting of net operating losses can be very complex. Taxpayers can make elections to either carry back the</w:t>
      </w:r>
      <w:r w:rsidR="007A615D">
        <w:t>ir</w:t>
      </w:r>
      <w:r>
        <w:t xml:space="preserve"> loss</w:t>
      </w:r>
      <w:r w:rsidR="007A615D">
        <w:t>es or to carry them forward to future years. Before they decide, they need answers to some questions:</w:t>
      </w:r>
    </w:p>
    <w:p w:rsidR="007A615D" w:rsidRDefault="007A615D" w:rsidP="007A615D">
      <w:pPr>
        <w:pStyle w:val="ListParagraph"/>
        <w:numPr>
          <w:ilvl w:val="0"/>
          <w:numId w:val="1"/>
        </w:numPr>
      </w:pPr>
      <w:r>
        <w:t>What is the carryback period, and will there be a tax savings?</w:t>
      </w:r>
    </w:p>
    <w:p w:rsidR="007A615D" w:rsidRDefault="007A615D" w:rsidP="007A615D">
      <w:pPr>
        <w:pStyle w:val="ListParagraph"/>
        <w:numPr>
          <w:ilvl w:val="0"/>
          <w:numId w:val="1"/>
        </w:numPr>
      </w:pPr>
      <w:r>
        <w:t>Is there a tax benefit to carrying the losses forward to more profitable future years?</w:t>
      </w:r>
    </w:p>
    <w:p w:rsidR="007A615D" w:rsidRDefault="007A615D" w:rsidP="007A615D">
      <w:pPr>
        <w:pStyle w:val="ListParagraph"/>
        <w:numPr>
          <w:ilvl w:val="0"/>
          <w:numId w:val="1"/>
        </w:numPr>
      </w:pPr>
      <w:r>
        <w:t>Should losses be claimed on a Form 1045 or an amended return?</w:t>
      </w:r>
    </w:p>
    <w:p w:rsidR="007A615D" w:rsidRDefault="007A615D" w:rsidP="007A615D">
      <w:pPr>
        <w:pStyle w:val="ListParagraph"/>
        <w:numPr>
          <w:ilvl w:val="0"/>
          <w:numId w:val="1"/>
        </w:numPr>
      </w:pPr>
      <w:r>
        <w:t>What adjustments must be made in order to calculate the allowable tax refunds?</w:t>
      </w:r>
    </w:p>
    <w:p w:rsidR="007A615D" w:rsidRDefault="007A615D" w:rsidP="007A615D">
      <w:pPr>
        <w:pStyle w:val="ListParagraph"/>
        <w:numPr>
          <w:ilvl w:val="0"/>
          <w:numId w:val="1"/>
        </w:numPr>
      </w:pPr>
      <w:r>
        <w:t>Does the taxpayer know</w:t>
      </w:r>
      <w:r w:rsidR="00A76103">
        <w:t xml:space="preserve"> about</w:t>
      </w:r>
      <w:r>
        <w:t xml:space="preserve"> all of the choices?</w:t>
      </w:r>
    </w:p>
    <w:p w:rsidR="007A615D" w:rsidRDefault="007A615D" w:rsidP="007A615D">
      <w:r>
        <w:t>This webcast will provide an excellent overview</w:t>
      </w:r>
      <w:r w:rsidR="00A76103">
        <w:t xml:space="preserve"> of</w:t>
      </w:r>
      <w:r>
        <w:t xml:space="preserve"> net operating loss (NOL) requirements and pitfalls.</w:t>
      </w:r>
    </w:p>
    <w:p w:rsidR="007A615D" w:rsidRDefault="007A615D" w:rsidP="007A615D">
      <w:pPr>
        <w:rPr>
          <w:b/>
        </w:rPr>
      </w:pPr>
      <w:r>
        <w:rPr>
          <w:b/>
        </w:rPr>
        <w:t xml:space="preserve">Topics </w:t>
      </w:r>
      <w:r w:rsidR="004D4580">
        <w:rPr>
          <w:b/>
        </w:rPr>
        <w:t>c</w:t>
      </w:r>
      <w:r>
        <w:rPr>
          <w:b/>
        </w:rPr>
        <w:t>overed:</w:t>
      </w:r>
    </w:p>
    <w:p w:rsidR="001E42E6" w:rsidRDefault="007A615D" w:rsidP="001E42E6">
      <w:pPr>
        <w:pStyle w:val="ListParagraph"/>
        <w:numPr>
          <w:ilvl w:val="0"/>
          <w:numId w:val="2"/>
        </w:numPr>
      </w:pPr>
      <w:r>
        <w:t>History of the NOL</w:t>
      </w:r>
      <w:r w:rsidR="001E42E6">
        <w:t xml:space="preserve"> </w:t>
      </w:r>
    </w:p>
    <w:p w:rsidR="001E42E6" w:rsidRDefault="007A615D" w:rsidP="001E42E6">
      <w:pPr>
        <w:pStyle w:val="ListParagraph"/>
        <w:numPr>
          <w:ilvl w:val="0"/>
          <w:numId w:val="2"/>
        </w:numPr>
      </w:pPr>
      <w:r>
        <w:t xml:space="preserve">Carryback or carryforward – </w:t>
      </w:r>
      <w:r w:rsidR="001E42E6">
        <w:t>m</w:t>
      </w:r>
      <w:r>
        <w:t xml:space="preserve">aking the correct election </w:t>
      </w:r>
    </w:p>
    <w:p w:rsidR="001E42E6" w:rsidRDefault="001E42E6" w:rsidP="001E42E6">
      <w:pPr>
        <w:pStyle w:val="ListParagraph"/>
        <w:numPr>
          <w:ilvl w:val="0"/>
          <w:numId w:val="2"/>
        </w:numPr>
      </w:pPr>
      <w:r>
        <w:t>Form 1045 or amended return</w:t>
      </w:r>
    </w:p>
    <w:p w:rsidR="001E42E6" w:rsidRDefault="001E42E6" w:rsidP="001E42E6">
      <w:pPr>
        <w:pStyle w:val="ListParagraph"/>
        <w:numPr>
          <w:ilvl w:val="0"/>
          <w:numId w:val="2"/>
        </w:numPr>
      </w:pPr>
      <w:r>
        <w:t>Net operating losses for individuals</w:t>
      </w:r>
    </w:p>
    <w:p w:rsidR="001E42E6" w:rsidRDefault="001E42E6" w:rsidP="001E42E6">
      <w:pPr>
        <w:pStyle w:val="ListParagraph"/>
        <w:numPr>
          <w:ilvl w:val="1"/>
          <w:numId w:val="2"/>
        </w:numPr>
      </w:pPr>
      <w:r>
        <w:t>Non-business deductions</w:t>
      </w:r>
    </w:p>
    <w:p w:rsidR="001E42E6" w:rsidRDefault="001E42E6" w:rsidP="001E42E6">
      <w:pPr>
        <w:pStyle w:val="ListParagraph"/>
        <w:numPr>
          <w:ilvl w:val="1"/>
          <w:numId w:val="2"/>
        </w:numPr>
      </w:pPr>
      <w:r>
        <w:t>Non-business income</w:t>
      </w:r>
    </w:p>
    <w:p w:rsidR="001E42E6" w:rsidRDefault="001E42E6" w:rsidP="001E42E6">
      <w:pPr>
        <w:pStyle w:val="ListParagraph"/>
        <w:numPr>
          <w:ilvl w:val="1"/>
          <w:numId w:val="2"/>
        </w:numPr>
      </w:pPr>
      <w:r>
        <w:t>Non-business capital losses</w:t>
      </w:r>
    </w:p>
    <w:p w:rsidR="001E42E6" w:rsidRDefault="001E42E6" w:rsidP="001E42E6">
      <w:pPr>
        <w:pStyle w:val="ListParagraph"/>
        <w:numPr>
          <w:ilvl w:val="1"/>
          <w:numId w:val="2"/>
        </w:numPr>
      </w:pPr>
      <w:r>
        <w:t>Impact on IRA deductions, Social Security taxation, educational deductions, casualty losses, and medical expenses</w:t>
      </w:r>
    </w:p>
    <w:p w:rsidR="001E42E6" w:rsidRDefault="001E42E6" w:rsidP="001E42E6">
      <w:pPr>
        <w:pStyle w:val="ListParagraph"/>
        <w:numPr>
          <w:ilvl w:val="0"/>
          <w:numId w:val="4"/>
        </w:numPr>
      </w:pPr>
      <w:r>
        <w:t>Exceptions to 2-year carryback requirements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Disasters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Farm losses</w:t>
      </w:r>
    </w:p>
    <w:p w:rsidR="001E42E6" w:rsidRDefault="001E42E6" w:rsidP="001E42E6">
      <w:pPr>
        <w:pStyle w:val="ListParagraph"/>
        <w:numPr>
          <w:ilvl w:val="0"/>
          <w:numId w:val="4"/>
        </w:numPr>
      </w:pPr>
      <w:r>
        <w:t>How to claim and compute the deduction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Deducting a carryback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Deducting a carryforward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Change in marital status</w:t>
      </w:r>
    </w:p>
    <w:p w:rsidR="001E42E6" w:rsidRDefault="001E42E6" w:rsidP="001E42E6">
      <w:pPr>
        <w:pStyle w:val="ListParagraph"/>
        <w:numPr>
          <w:ilvl w:val="1"/>
          <w:numId w:val="4"/>
        </w:numPr>
      </w:pPr>
      <w:r>
        <w:t>Change in filing status</w:t>
      </w:r>
    </w:p>
    <w:p w:rsidR="001E42E6" w:rsidRDefault="001E42E6" w:rsidP="001E42E6">
      <w:pPr>
        <w:pStyle w:val="ListParagraph"/>
        <w:numPr>
          <w:ilvl w:val="0"/>
          <w:numId w:val="5"/>
        </w:numPr>
      </w:pPr>
      <w:r>
        <w:t>Flow-through entities – limitation of losses</w:t>
      </w:r>
    </w:p>
    <w:p w:rsidR="001E42E6" w:rsidRDefault="001E42E6" w:rsidP="001E42E6">
      <w:pPr>
        <w:pStyle w:val="ListParagraph"/>
        <w:numPr>
          <w:ilvl w:val="0"/>
          <w:numId w:val="5"/>
        </w:numPr>
      </w:pPr>
      <w:r>
        <w:t>IRC section 382 limitation – ownership changes</w:t>
      </w:r>
    </w:p>
    <w:p w:rsidR="001E42E6" w:rsidRDefault="001E42E6" w:rsidP="001E42E6">
      <w:pPr>
        <w:pStyle w:val="ListParagraph"/>
        <w:numPr>
          <w:ilvl w:val="0"/>
          <w:numId w:val="5"/>
        </w:numPr>
      </w:pPr>
      <w:r>
        <w:t>Impact of debt forgiveness on NOLs</w:t>
      </w:r>
    </w:p>
    <w:p w:rsidR="001E42E6" w:rsidRDefault="001E42E6" w:rsidP="001E42E6">
      <w:pPr>
        <w:pStyle w:val="ListParagraph"/>
        <w:numPr>
          <w:ilvl w:val="0"/>
          <w:numId w:val="5"/>
        </w:numPr>
      </w:pPr>
      <w:r>
        <w:t>Form 1138 – extensions for filing</w:t>
      </w:r>
    </w:p>
    <w:p w:rsidR="004D4580" w:rsidRDefault="001E42E6" w:rsidP="001E42E6">
      <w:pPr>
        <w:pStyle w:val="ListParagraph"/>
        <w:numPr>
          <w:ilvl w:val="0"/>
          <w:numId w:val="5"/>
        </w:numPr>
      </w:pPr>
      <w:r>
        <w:t xml:space="preserve">Form 1139 </w:t>
      </w:r>
      <w:r w:rsidR="004D4580">
        <w:t>–</w:t>
      </w:r>
      <w:r>
        <w:t xml:space="preserve"> </w:t>
      </w:r>
      <w:r w:rsidR="004D4580">
        <w:t>Trusts, estates, and corporations – the “quick refund”</w:t>
      </w:r>
    </w:p>
    <w:p w:rsidR="004D4580" w:rsidRDefault="004D4580" w:rsidP="004D4580">
      <w:pPr>
        <w:rPr>
          <w:b/>
        </w:rPr>
      </w:pPr>
      <w:r>
        <w:rPr>
          <w:b/>
        </w:rPr>
        <w:lastRenderedPageBreak/>
        <w:t>Who should attend:</w:t>
      </w:r>
    </w:p>
    <w:p w:rsidR="00131967" w:rsidRDefault="004D4580" w:rsidP="004D4580">
      <w:r>
        <w:t>Any tax practitioner involved in the planning and preparation of tax returns where a net operating loss could be claimed</w:t>
      </w:r>
      <w:r w:rsidR="00F5255E">
        <w:t xml:space="preserve">. </w:t>
      </w:r>
    </w:p>
    <w:p w:rsidR="004D4580" w:rsidRDefault="004D4580" w:rsidP="004D4580">
      <w:pPr>
        <w:rPr>
          <w:b/>
        </w:rPr>
      </w:pPr>
      <w:r>
        <w:rPr>
          <w:b/>
        </w:rPr>
        <w:t>Learning objectives:</w:t>
      </w:r>
    </w:p>
    <w:p w:rsidR="004D4580" w:rsidRDefault="004D4580" w:rsidP="004D4580">
      <w:pPr>
        <w:pStyle w:val="ListParagraph"/>
        <w:numPr>
          <w:ilvl w:val="0"/>
          <w:numId w:val="7"/>
        </w:numPr>
      </w:pPr>
      <w:r>
        <w:t xml:space="preserve">Understand how to compute both net operating loss carrybacks and carryforwards. </w:t>
      </w:r>
    </w:p>
    <w:p w:rsidR="004D4580" w:rsidRDefault="004D4580" w:rsidP="004D4580">
      <w:pPr>
        <w:pStyle w:val="ListParagraph"/>
        <w:numPr>
          <w:ilvl w:val="0"/>
          <w:numId w:val="7"/>
        </w:numPr>
      </w:pPr>
      <w:r>
        <w:t>Avoid costly mistakes in tax planning.</w:t>
      </w:r>
    </w:p>
    <w:p w:rsidR="004D4580" w:rsidRDefault="004D4580" w:rsidP="004D4580">
      <w:pPr>
        <w:pStyle w:val="ListParagraph"/>
        <w:numPr>
          <w:ilvl w:val="0"/>
          <w:numId w:val="7"/>
        </w:numPr>
      </w:pPr>
      <w:r>
        <w:t>Prepare the various forms that are required to claim a net operating loss.</w:t>
      </w:r>
    </w:p>
    <w:p w:rsidR="004D4580" w:rsidRDefault="004D4580" w:rsidP="004D4580">
      <w:r w:rsidRPr="004D4580">
        <w:rPr>
          <w:b/>
        </w:rPr>
        <w:t>Level:</w:t>
      </w:r>
      <w:r>
        <w:t xml:space="preserve"> Basic</w:t>
      </w:r>
    </w:p>
    <w:p w:rsidR="007A615D" w:rsidRDefault="001E42E6" w:rsidP="004D4580">
      <w:bookmarkStart w:id="0" w:name="_GoBack"/>
      <w:bookmarkEnd w:id="0"/>
      <w:r>
        <w:br/>
      </w:r>
    </w:p>
    <w:p w:rsidR="001E42E6" w:rsidRPr="007A615D" w:rsidRDefault="001E42E6" w:rsidP="007A615D"/>
    <w:sectPr w:rsidR="001E42E6" w:rsidRPr="007A615D" w:rsidSect="00F5255E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BE"/>
    <w:multiLevelType w:val="hybridMultilevel"/>
    <w:tmpl w:val="22AE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792"/>
    <w:multiLevelType w:val="hybridMultilevel"/>
    <w:tmpl w:val="E66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2CCC"/>
    <w:multiLevelType w:val="hybridMultilevel"/>
    <w:tmpl w:val="B86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DAC"/>
    <w:multiLevelType w:val="hybridMultilevel"/>
    <w:tmpl w:val="49EA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630C"/>
    <w:multiLevelType w:val="hybridMultilevel"/>
    <w:tmpl w:val="3A8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2FE2"/>
    <w:multiLevelType w:val="hybridMultilevel"/>
    <w:tmpl w:val="02189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00C"/>
    <w:multiLevelType w:val="hybridMultilevel"/>
    <w:tmpl w:val="F3C4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36"/>
    <w:rsid w:val="00131967"/>
    <w:rsid w:val="001E42E6"/>
    <w:rsid w:val="002D0BC1"/>
    <w:rsid w:val="004D4580"/>
    <w:rsid w:val="00503F75"/>
    <w:rsid w:val="00733491"/>
    <w:rsid w:val="007A615D"/>
    <w:rsid w:val="00813047"/>
    <w:rsid w:val="00933354"/>
    <w:rsid w:val="00A76103"/>
    <w:rsid w:val="00EB0536"/>
    <w:rsid w:val="00F5255E"/>
    <w:rsid w:val="00F6763F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5</cp:revision>
  <dcterms:created xsi:type="dcterms:W3CDTF">2012-01-21T15:59:00Z</dcterms:created>
  <dcterms:modified xsi:type="dcterms:W3CDTF">2014-06-26T21:57:00Z</dcterms:modified>
</cp:coreProperties>
</file>