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75" w:rsidRDefault="005009B9">
      <w:pPr>
        <w:rPr>
          <w:rFonts w:ascii="Arial" w:hAnsi="Arial" w:cs="Arial"/>
          <w:b/>
          <w:bCs/>
          <w:i/>
          <w:iCs/>
          <w:caps/>
          <w:color w:val="004D9C"/>
          <w:kern w:val="36"/>
          <w:sz w:val="20"/>
          <w:szCs w:val="20"/>
        </w:rPr>
      </w:pPr>
      <w:r>
        <w:rPr>
          <w:rFonts w:ascii="Arial" w:hAnsi="Arial" w:cs="Arial"/>
          <w:b/>
          <w:bCs/>
          <w:i/>
          <w:iCs/>
          <w:caps/>
          <w:color w:val="004D9C"/>
          <w:kern w:val="36"/>
          <w:sz w:val="20"/>
          <w:szCs w:val="20"/>
        </w:rPr>
        <w:t>Avoiding Tax practice Mistakes</w:t>
      </w:r>
      <w:r w:rsidR="00F4140C">
        <w:rPr>
          <w:rFonts w:ascii="Arial" w:hAnsi="Arial" w:cs="Arial"/>
          <w:b/>
          <w:bCs/>
          <w:i/>
          <w:iCs/>
          <w:caps/>
          <w:color w:val="004D9C"/>
          <w:kern w:val="36"/>
          <w:sz w:val="20"/>
          <w:szCs w:val="20"/>
        </w:rPr>
        <w:t xml:space="preserve"> -  Part I</w:t>
      </w:r>
      <w:r>
        <w:rPr>
          <w:rFonts w:ascii="Arial" w:hAnsi="Arial" w:cs="Arial"/>
          <w:b/>
          <w:bCs/>
          <w:i/>
          <w:iCs/>
          <w:caps/>
          <w:color w:val="004D9C"/>
          <w:kern w:val="36"/>
          <w:sz w:val="20"/>
          <w:szCs w:val="20"/>
        </w:rPr>
        <w:t xml:space="preserve"> - Collection and examination</w:t>
      </w:r>
    </w:p>
    <w:p w:rsidR="00F4140C" w:rsidRPr="00F4140C" w:rsidRDefault="00F4140C" w:rsidP="00F4140C">
      <w:pPr>
        <w:spacing w:before="216" w:after="288" w:line="288" w:lineRule="atLeast"/>
        <w:rPr>
          <w:rFonts w:ascii="Arial" w:eastAsia="Times New Roman" w:hAnsi="Arial" w:cs="Arial"/>
          <w:color w:val="333333"/>
          <w:sz w:val="20"/>
          <w:szCs w:val="20"/>
        </w:rPr>
      </w:pPr>
      <w:r w:rsidRPr="00F4140C">
        <w:rPr>
          <w:rFonts w:ascii="Arial" w:eastAsia="Times New Roman" w:hAnsi="Arial" w:cs="Arial"/>
          <w:color w:val="333333"/>
          <w:sz w:val="20"/>
          <w:szCs w:val="20"/>
        </w:rPr>
        <w:t>Tax practice and the resolution of tax problems with the Internal Revenue Service can be tedious and outright challenging. This course will show practitioners how to navigate through the confusing IRS system, help them save time, and enable them to avail their clients of all the rights to which they are entitled. The techniques and tools this course provides will make tax practice less “taxing.”</w:t>
      </w:r>
    </w:p>
    <w:p w:rsidR="00F4140C" w:rsidRPr="00F4140C" w:rsidRDefault="00F4140C" w:rsidP="00F4140C">
      <w:pPr>
        <w:spacing w:before="216" w:after="288" w:line="480" w:lineRule="atLeast"/>
        <w:rPr>
          <w:rFonts w:ascii="Arial" w:eastAsia="Times New Roman" w:hAnsi="Arial" w:cs="Arial"/>
          <w:b/>
          <w:bCs/>
          <w:i/>
          <w:iCs/>
          <w:color w:val="333333"/>
          <w:sz w:val="20"/>
          <w:szCs w:val="20"/>
        </w:rPr>
      </w:pPr>
      <w:r w:rsidRPr="00F4140C">
        <w:rPr>
          <w:rFonts w:ascii="Arial" w:eastAsia="Times New Roman" w:hAnsi="Arial" w:cs="Arial"/>
          <w:b/>
          <w:bCs/>
          <w:i/>
          <w:iCs/>
          <w:color w:val="333333"/>
          <w:sz w:val="20"/>
          <w:szCs w:val="20"/>
        </w:rPr>
        <w:t>Major Topics</w:t>
      </w:r>
    </w:p>
    <w:p w:rsidR="00F4140C" w:rsidRPr="00F4140C" w:rsidRDefault="00F4140C" w:rsidP="00F4140C">
      <w:pPr>
        <w:numPr>
          <w:ilvl w:val="0"/>
          <w:numId w:val="1"/>
        </w:numPr>
        <w:spacing w:before="100" w:beforeAutospacing="1" w:after="100" w:afterAutospacing="1" w:line="288" w:lineRule="atLeast"/>
        <w:ind w:left="840"/>
        <w:rPr>
          <w:rFonts w:ascii="Arial" w:eastAsia="Times New Roman" w:hAnsi="Arial" w:cs="Arial"/>
          <w:color w:val="333333"/>
          <w:sz w:val="20"/>
          <w:szCs w:val="20"/>
        </w:rPr>
      </w:pPr>
      <w:r w:rsidRPr="00F4140C">
        <w:rPr>
          <w:rFonts w:ascii="Arial" w:eastAsia="Times New Roman" w:hAnsi="Arial" w:cs="Arial"/>
          <w:color w:val="333333"/>
          <w:sz w:val="20"/>
          <w:szCs w:val="20"/>
        </w:rPr>
        <w:t xml:space="preserve">Collection </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Mistakes in handling IRS liens, levies, and installment agreements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Statutes of limitation on collection</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 xml:space="preserve">Audit reconsideration after assessment </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Innocent spouse relief</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Offers in compromise</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Preparing IRS financial statements for clients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Collection due process hearings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Claims for refund</w:t>
      </w:r>
    </w:p>
    <w:p w:rsidR="00F4140C" w:rsidRPr="00F4140C" w:rsidRDefault="00F4140C" w:rsidP="00F4140C">
      <w:pPr>
        <w:numPr>
          <w:ilvl w:val="0"/>
          <w:numId w:val="1"/>
        </w:numPr>
        <w:spacing w:before="100" w:beforeAutospacing="1" w:after="100" w:afterAutospacing="1" w:line="288" w:lineRule="atLeast"/>
        <w:ind w:left="840"/>
        <w:rPr>
          <w:rFonts w:ascii="Arial" w:eastAsia="Times New Roman" w:hAnsi="Arial" w:cs="Arial"/>
          <w:color w:val="333333"/>
          <w:sz w:val="20"/>
          <w:szCs w:val="20"/>
        </w:rPr>
      </w:pPr>
      <w:r w:rsidRPr="00F4140C">
        <w:rPr>
          <w:rFonts w:ascii="Arial" w:eastAsia="Times New Roman" w:hAnsi="Arial" w:cs="Arial"/>
          <w:color w:val="333333"/>
          <w:sz w:val="20"/>
          <w:szCs w:val="20"/>
        </w:rPr>
        <w:t xml:space="preserve">Examination </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Return selection process for examination: how to avoid unnecessary audits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Burden of proof : substantiation and use of oral testimony to substantiate expenses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Setting the scope of examination with the IRS examiner: how to determine what the IRS is looking for</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Dealing with IRS correspondence exams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Partnership/S corporation/LLC audits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Failure to file situations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IRS summonses and enforcement procedures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Statute of limitations issues</w:t>
      </w:r>
    </w:p>
    <w:p w:rsidR="00F4140C" w:rsidRP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Circular 230 guidelines for practice before the Internal Revenue Service</w:t>
      </w:r>
    </w:p>
    <w:p w:rsidR="00F4140C" w:rsidRDefault="00F4140C" w:rsidP="00F4140C">
      <w:pPr>
        <w:numPr>
          <w:ilvl w:val="1"/>
          <w:numId w:val="1"/>
        </w:numPr>
        <w:spacing w:before="100" w:beforeAutospacing="1" w:after="100" w:afterAutospacing="1" w:line="288" w:lineRule="atLeast"/>
        <w:ind w:left="1680"/>
        <w:rPr>
          <w:rFonts w:ascii="Arial" w:eastAsia="Times New Roman" w:hAnsi="Arial" w:cs="Arial"/>
          <w:color w:val="333333"/>
          <w:sz w:val="18"/>
          <w:szCs w:val="18"/>
        </w:rPr>
      </w:pPr>
      <w:r w:rsidRPr="00F4140C">
        <w:rPr>
          <w:rFonts w:ascii="Arial" w:eastAsia="Times New Roman" w:hAnsi="Arial" w:cs="Arial"/>
          <w:color w:val="333333"/>
          <w:sz w:val="18"/>
          <w:szCs w:val="18"/>
        </w:rPr>
        <w:t xml:space="preserve">Tax shelters: avoiding abusive tax shelters and pre-filing notification letters </w:t>
      </w:r>
    </w:p>
    <w:p w:rsidR="00F4140C" w:rsidRPr="00F4140C" w:rsidRDefault="00F4140C" w:rsidP="00F4140C">
      <w:pPr>
        <w:spacing w:before="216" w:after="288" w:line="480" w:lineRule="atLeast"/>
        <w:rPr>
          <w:rFonts w:ascii="Arial" w:eastAsia="Times New Roman" w:hAnsi="Arial" w:cs="Arial"/>
          <w:b/>
          <w:bCs/>
          <w:i/>
          <w:iCs/>
          <w:color w:val="333333"/>
          <w:sz w:val="20"/>
          <w:szCs w:val="20"/>
        </w:rPr>
      </w:pPr>
      <w:r w:rsidRPr="00F4140C">
        <w:rPr>
          <w:rFonts w:ascii="Arial" w:eastAsia="Times New Roman" w:hAnsi="Arial" w:cs="Arial"/>
          <w:b/>
          <w:bCs/>
          <w:i/>
          <w:iCs/>
          <w:color w:val="333333"/>
          <w:sz w:val="20"/>
          <w:szCs w:val="20"/>
        </w:rPr>
        <w:t xml:space="preserve">Learning Objectives </w:t>
      </w:r>
    </w:p>
    <w:p w:rsidR="00F4140C" w:rsidRPr="00F4140C" w:rsidRDefault="00F4140C" w:rsidP="00F4140C">
      <w:pPr>
        <w:numPr>
          <w:ilvl w:val="0"/>
          <w:numId w:val="2"/>
        </w:numPr>
        <w:spacing w:before="100" w:beforeAutospacing="1" w:after="100" w:afterAutospacing="1" w:line="288" w:lineRule="atLeast"/>
        <w:ind w:left="840"/>
        <w:rPr>
          <w:rFonts w:ascii="Arial" w:eastAsia="Times New Roman" w:hAnsi="Arial" w:cs="Arial"/>
          <w:color w:val="333333"/>
          <w:sz w:val="20"/>
          <w:szCs w:val="20"/>
        </w:rPr>
      </w:pPr>
      <w:r w:rsidRPr="00F4140C">
        <w:rPr>
          <w:rFonts w:ascii="Arial" w:eastAsia="Times New Roman" w:hAnsi="Arial" w:cs="Arial"/>
          <w:color w:val="333333"/>
          <w:sz w:val="20"/>
          <w:szCs w:val="20"/>
        </w:rPr>
        <w:t>Gain a better understanding of IRS procedures</w:t>
      </w:r>
    </w:p>
    <w:p w:rsidR="00F4140C" w:rsidRPr="00F4140C" w:rsidRDefault="00F4140C" w:rsidP="00F4140C">
      <w:pPr>
        <w:numPr>
          <w:ilvl w:val="0"/>
          <w:numId w:val="2"/>
        </w:numPr>
        <w:spacing w:before="100" w:beforeAutospacing="1" w:after="100" w:afterAutospacing="1" w:line="288" w:lineRule="atLeast"/>
        <w:ind w:left="840"/>
        <w:rPr>
          <w:rFonts w:ascii="Arial" w:eastAsia="Times New Roman" w:hAnsi="Arial" w:cs="Arial"/>
          <w:color w:val="333333"/>
          <w:sz w:val="20"/>
          <w:szCs w:val="20"/>
        </w:rPr>
      </w:pPr>
      <w:r w:rsidRPr="00F4140C">
        <w:rPr>
          <w:rFonts w:ascii="Arial" w:eastAsia="Times New Roman" w:hAnsi="Arial" w:cs="Arial"/>
          <w:color w:val="333333"/>
          <w:sz w:val="20"/>
          <w:szCs w:val="20"/>
        </w:rPr>
        <w:t>Understand how to avoid major mistakes in dealing with the Internal Revenue Service</w:t>
      </w:r>
    </w:p>
    <w:p w:rsidR="00F4140C" w:rsidRPr="00F4140C" w:rsidRDefault="00F4140C" w:rsidP="00F4140C">
      <w:pPr>
        <w:numPr>
          <w:ilvl w:val="0"/>
          <w:numId w:val="2"/>
        </w:numPr>
        <w:spacing w:before="100" w:beforeAutospacing="1" w:after="100" w:afterAutospacing="1" w:line="288" w:lineRule="atLeast"/>
        <w:ind w:left="840"/>
        <w:rPr>
          <w:rFonts w:ascii="Arial" w:eastAsia="Times New Roman" w:hAnsi="Arial" w:cs="Arial"/>
          <w:color w:val="333333"/>
          <w:sz w:val="20"/>
          <w:szCs w:val="20"/>
        </w:rPr>
      </w:pPr>
      <w:r w:rsidRPr="00F4140C">
        <w:rPr>
          <w:rFonts w:ascii="Arial" w:eastAsia="Times New Roman" w:hAnsi="Arial" w:cs="Arial"/>
          <w:color w:val="333333"/>
          <w:sz w:val="20"/>
          <w:szCs w:val="20"/>
        </w:rPr>
        <w:t>Find out how to provide the best advice for clients</w:t>
      </w:r>
    </w:p>
    <w:p w:rsidR="00F4140C" w:rsidRPr="00F4140C" w:rsidRDefault="00F4140C" w:rsidP="00F4140C">
      <w:pPr>
        <w:spacing w:before="216" w:after="288" w:line="288" w:lineRule="atLeast"/>
        <w:rPr>
          <w:rFonts w:ascii="Arial" w:eastAsia="Times New Roman" w:hAnsi="Arial" w:cs="Arial"/>
          <w:color w:val="333333"/>
          <w:sz w:val="20"/>
          <w:szCs w:val="20"/>
        </w:rPr>
      </w:pPr>
      <w:r w:rsidRPr="00F4140C">
        <w:rPr>
          <w:rFonts w:ascii="Arial" w:eastAsia="Times New Roman" w:hAnsi="Arial" w:cs="Arial"/>
          <w:b/>
          <w:bCs/>
          <w:i/>
          <w:iCs/>
          <w:color w:val="333333"/>
          <w:sz w:val="20"/>
        </w:rPr>
        <w:t xml:space="preserve">Designed For: </w:t>
      </w:r>
      <w:r w:rsidR="00C86FB8">
        <w:rPr>
          <w:rFonts w:ascii="Arial" w:eastAsia="Times New Roman" w:hAnsi="Arial" w:cs="Arial"/>
          <w:color w:val="333333"/>
          <w:sz w:val="20"/>
          <w:szCs w:val="20"/>
        </w:rPr>
        <w:t>Tax Practitioners</w:t>
      </w:r>
      <w:r w:rsidRPr="00F4140C">
        <w:rPr>
          <w:rFonts w:ascii="Arial" w:eastAsia="Times New Roman" w:hAnsi="Arial" w:cs="Arial"/>
          <w:color w:val="333333"/>
          <w:sz w:val="20"/>
          <w:szCs w:val="20"/>
        </w:rPr>
        <w:t xml:space="preserve"> who wish to avoid expensive and time-consuming errors when dealing with the Internal Revenue Service</w:t>
      </w:r>
    </w:p>
    <w:p w:rsidR="00F4140C" w:rsidRPr="00F4140C" w:rsidRDefault="00F4140C" w:rsidP="00F4140C">
      <w:pPr>
        <w:spacing w:before="100" w:beforeAutospacing="1" w:after="100" w:afterAutospacing="1" w:line="288" w:lineRule="atLeast"/>
        <w:rPr>
          <w:rFonts w:ascii="Arial" w:eastAsia="Times New Roman" w:hAnsi="Arial" w:cs="Arial"/>
          <w:color w:val="333333"/>
          <w:sz w:val="18"/>
          <w:szCs w:val="18"/>
        </w:rPr>
      </w:pPr>
      <w:bookmarkStart w:id="0" w:name="_GoBack"/>
      <w:bookmarkEnd w:id="0"/>
    </w:p>
    <w:p w:rsidR="00F4140C" w:rsidRDefault="00F4140C"/>
    <w:sectPr w:rsidR="00F4140C" w:rsidSect="008C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52A3"/>
    <w:multiLevelType w:val="multilevel"/>
    <w:tmpl w:val="196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6D728E"/>
    <w:multiLevelType w:val="multilevel"/>
    <w:tmpl w:val="D2627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4140C"/>
    <w:rsid w:val="005009B9"/>
    <w:rsid w:val="00851465"/>
    <w:rsid w:val="008C3275"/>
    <w:rsid w:val="009F7CA9"/>
    <w:rsid w:val="00C86FB8"/>
    <w:rsid w:val="00F414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40C"/>
    <w:pPr>
      <w:spacing w:before="216" w:after="288" w:line="288" w:lineRule="atLeast"/>
    </w:pPr>
    <w:rPr>
      <w:rFonts w:ascii="Arial" w:eastAsia="Times New Roman" w:hAnsi="Arial" w:cs="Arial"/>
      <w:color w:val="333333"/>
    </w:rPr>
  </w:style>
  <w:style w:type="paragraph" w:customStyle="1" w:styleId="headings">
    <w:name w:val="headings"/>
    <w:basedOn w:val="Normal"/>
    <w:rsid w:val="00F4140C"/>
    <w:pPr>
      <w:spacing w:before="216" w:after="288" w:line="480" w:lineRule="atLeast"/>
    </w:pPr>
    <w:rPr>
      <w:rFonts w:ascii="Arial" w:eastAsia="Times New Roman" w:hAnsi="Arial" w:cs="Arial"/>
      <w:b/>
      <w:bCs/>
      <w:i/>
      <w:iCs/>
      <w:color w:val="333333"/>
    </w:rPr>
  </w:style>
  <w:style w:type="character" w:customStyle="1" w:styleId="headings1">
    <w:name w:val="headings1"/>
    <w:basedOn w:val="DefaultParagraphFont"/>
    <w:rsid w:val="00F4140C"/>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4</cp:revision>
  <dcterms:created xsi:type="dcterms:W3CDTF">2011-08-08T12:56:00Z</dcterms:created>
  <dcterms:modified xsi:type="dcterms:W3CDTF">2014-07-03T23:43:00Z</dcterms:modified>
</cp:coreProperties>
</file>