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1" w:rsidRDefault="00E70F9D" w:rsidP="00E70F9D">
      <w:pPr>
        <w:jc w:val="center"/>
      </w:pPr>
      <w:r>
        <w:t>IRC Section 1031 – Understanding Like-Kind Exchanges</w:t>
      </w:r>
    </w:p>
    <w:p w:rsidR="00E70F9D" w:rsidRDefault="00E70F9D" w:rsidP="00E70F9D">
      <w:r w:rsidRPr="00E70F9D">
        <w:rPr>
          <w:b/>
        </w:rPr>
        <w:t>NASBA field of study:</w:t>
      </w:r>
      <w:r>
        <w:t xml:space="preserve"> Taxes – 2 hours CPE</w:t>
      </w:r>
    </w:p>
    <w:p w:rsidR="00E70F9D" w:rsidRDefault="00E70F9D" w:rsidP="00E70F9D">
      <w:r w:rsidRPr="00E70F9D">
        <w:rPr>
          <w:b/>
        </w:rPr>
        <w:t xml:space="preserve">Instructor: </w:t>
      </w:r>
      <w:r>
        <w:t>Stuart Sobel</w:t>
      </w:r>
    </w:p>
    <w:p w:rsidR="004F4344" w:rsidRDefault="00BC5CB3" w:rsidP="00E70F9D">
      <w:r>
        <w:t xml:space="preserve">IRC </w:t>
      </w:r>
      <w:r w:rsidR="0020237B">
        <w:t>section</w:t>
      </w:r>
      <w:r>
        <w:t xml:space="preserve"> 1</w:t>
      </w:r>
      <w:r w:rsidR="0020237B">
        <w:t>031</w:t>
      </w:r>
      <w:r>
        <w:t xml:space="preserve"> represents the ultimate in tax planning: realize income without having it recognized for tax purposes. However, if </w:t>
      </w:r>
      <w:r w:rsidR="00101C52">
        <w:t>tax planning is improper, the consequences can be significant</w:t>
      </w:r>
      <w:r w:rsidR="00032DFD">
        <w:t>,</w:t>
      </w:r>
      <w:r w:rsidR="00101C52">
        <w:t xml:space="preserve"> as the taxes may leave insufficient cash to buy the replacement property. </w:t>
      </w:r>
    </w:p>
    <w:p w:rsidR="00BC5CB3" w:rsidRDefault="004F4344" w:rsidP="00E70F9D">
      <w:r>
        <w:t>Creating a like-kind exchange requires tax planning and proper execution. To ensure that clients receive favorable tax treatment,</w:t>
      </w:r>
      <w:r w:rsidRPr="004F4344">
        <w:t xml:space="preserve"> </w:t>
      </w:r>
      <w:r w:rsidR="00400ED9">
        <w:t xml:space="preserve">it is vital that the </w:t>
      </w:r>
      <w:r>
        <w:t>practitioner act as the focal point in the transaction with taxpayers, realtors, attorneys, and escrow agents</w:t>
      </w:r>
      <w:r w:rsidR="00400ED9">
        <w:t xml:space="preserve">. </w:t>
      </w:r>
    </w:p>
    <w:p w:rsidR="00400ED9" w:rsidRDefault="00400ED9" w:rsidP="00E70F9D">
      <w:r>
        <w:t>This course, which is geared to the tax professional specializing in tax planning as well as tax preparation, will provide an in-depth analysis of this challenging code section.</w:t>
      </w:r>
    </w:p>
    <w:p w:rsidR="00400ED9" w:rsidRDefault="00400ED9" w:rsidP="00E70F9D">
      <w:r w:rsidRPr="00400ED9">
        <w:rPr>
          <w:b/>
        </w:rPr>
        <w:t>Who should attend:</w:t>
      </w:r>
      <w:r>
        <w:rPr>
          <w:b/>
        </w:rPr>
        <w:t xml:space="preserve"> </w:t>
      </w:r>
      <w:r>
        <w:t xml:space="preserve">Tax </w:t>
      </w:r>
      <w:r w:rsidR="0020237B">
        <w:t>p</w:t>
      </w:r>
      <w:r>
        <w:t>ractitioners</w:t>
      </w:r>
    </w:p>
    <w:p w:rsidR="0020237B" w:rsidRPr="0020237B" w:rsidRDefault="0020237B" w:rsidP="00E70F9D">
      <w:pPr>
        <w:rPr>
          <w:b/>
        </w:rPr>
      </w:pPr>
      <w:r w:rsidRPr="0020237B">
        <w:rPr>
          <w:b/>
        </w:rPr>
        <w:t xml:space="preserve">Topics covered: 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History of section 1031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Tax consequences of sale and exchange of property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Realized and recognized gain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Advantages and disadvantages of like-kind exchanges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 xml:space="preserve">Applicability of section 1031 to </w:t>
      </w:r>
    </w:p>
    <w:p w:rsidR="0020237B" w:rsidRDefault="0020237B" w:rsidP="0020237B">
      <w:pPr>
        <w:pStyle w:val="ListParagraph"/>
        <w:numPr>
          <w:ilvl w:val="1"/>
          <w:numId w:val="1"/>
        </w:numPr>
      </w:pPr>
      <w:r>
        <w:t>Trade, business, or investment property</w:t>
      </w:r>
    </w:p>
    <w:p w:rsidR="0020237B" w:rsidRDefault="0020237B" w:rsidP="0020237B">
      <w:pPr>
        <w:pStyle w:val="ListParagraph"/>
        <w:numPr>
          <w:ilvl w:val="1"/>
          <w:numId w:val="1"/>
        </w:numPr>
      </w:pPr>
      <w:r>
        <w:t>Personal residence or vacation home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Like-kind property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Planning issues:</w:t>
      </w:r>
    </w:p>
    <w:p w:rsidR="0020237B" w:rsidRDefault="0020237B" w:rsidP="0020237B">
      <w:pPr>
        <w:pStyle w:val="ListParagraph"/>
        <w:numPr>
          <w:ilvl w:val="1"/>
          <w:numId w:val="1"/>
        </w:numPr>
      </w:pPr>
      <w:r>
        <w:t>Timing</w:t>
      </w:r>
    </w:p>
    <w:p w:rsidR="0020237B" w:rsidRDefault="0020237B" w:rsidP="0020237B">
      <w:pPr>
        <w:pStyle w:val="ListParagraph"/>
        <w:numPr>
          <w:ilvl w:val="1"/>
          <w:numId w:val="1"/>
        </w:numPr>
      </w:pPr>
      <w:r>
        <w:t>Identification rules</w:t>
      </w:r>
    </w:p>
    <w:p w:rsidR="0020237B" w:rsidRDefault="0020237B" w:rsidP="0020237B">
      <w:pPr>
        <w:pStyle w:val="ListParagraph"/>
        <w:numPr>
          <w:ilvl w:val="1"/>
          <w:numId w:val="1"/>
        </w:numPr>
      </w:pPr>
      <w:r>
        <w:t>Same taxpayer requirement</w:t>
      </w:r>
    </w:p>
    <w:p w:rsidR="0020237B" w:rsidRDefault="0020237B" w:rsidP="0020237B">
      <w:pPr>
        <w:pStyle w:val="ListParagraph"/>
        <w:numPr>
          <w:ilvl w:val="1"/>
          <w:numId w:val="1"/>
        </w:numPr>
      </w:pPr>
      <w:r>
        <w:t>Exchanges between related parties</w:t>
      </w:r>
    </w:p>
    <w:p w:rsidR="0020237B" w:rsidRPr="006931D5" w:rsidRDefault="0020237B" w:rsidP="0020237B">
      <w:pPr>
        <w:pStyle w:val="ListParagraph"/>
        <w:numPr>
          <w:ilvl w:val="1"/>
          <w:numId w:val="1"/>
        </w:numPr>
      </w:pPr>
      <w:r>
        <w:t xml:space="preserve">Impact of </w:t>
      </w:r>
      <w:r w:rsidRPr="006931D5">
        <w:rPr>
          <w:i/>
        </w:rPr>
        <w:t>boot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Depreciation recapture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Disallowed exchanges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Types of tax-deferred exchanges</w:t>
      </w:r>
    </w:p>
    <w:p w:rsidR="0020237B" w:rsidRDefault="0020237B" w:rsidP="0020237B">
      <w:pPr>
        <w:pStyle w:val="ListParagraph"/>
        <w:numPr>
          <w:ilvl w:val="1"/>
          <w:numId w:val="1"/>
        </w:numPr>
      </w:pPr>
      <w:r>
        <w:t>Deferred exchanges</w:t>
      </w:r>
    </w:p>
    <w:p w:rsidR="0020237B" w:rsidRDefault="0020237B" w:rsidP="0020237B">
      <w:pPr>
        <w:pStyle w:val="ListParagraph"/>
        <w:numPr>
          <w:ilvl w:val="1"/>
          <w:numId w:val="1"/>
        </w:numPr>
      </w:pPr>
      <w:r>
        <w:t>Reverse exchanges</w:t>
      </w:r>
    </w:p>
    <w:p w:rsidR="0020237B" w:rsidRDefault="0020237B" w:rsidP="0020237B">
      <w:pPr>
        <w:pStyle w:val="ListParagraph"/>
        <w:numPr>
          <w:ilvl w:val="1"/>
          <w:numId w:val="1"/>
        </w:numPr>
      </w:pPr>
      <w:r>
        <w:t>Multiple property exchanges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Proper reporting of like-kind exchanges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lastRenderedPageBreak/>
        <w:t>Depreciation of property acquired in like-kind exchanges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Estate planning tips</w:t>
      </w:r>
    </w:p>
    <w:p w:rsidR="0020237B" w:rsidRDefault="0020237B" w:rsidP="0020237B">
      <w:pPr>
        <w:pStyle w:val="ListParagraph"/>
        <w:numPr>
          <w:ilvl w:val="0"/>
          <w:numId w:val="1"/>
        </w:numPr>
      </w:pPr>
      <w:r>
        <w:t>Summary</w:t>
      </w:r>
    </w:p>
    <w:p w:rsidR="0020237B" w:rsidRDefault="0020237B" w:rsidP="0020237B">
      <w:pPr>
        <w:rPr>
          <w:b/>
        </w:rPr>
      </w:pPr>
      <w:r>
        <w:rPr>
          <w:b/>
        </w:rPr>
        <w:t>Learning objectives:</w:t>
      </w:r>
    </w:p>
    <w:p w:rsidR="0020237B" w:rsidRDefault="00032DFD" w:rsidP="0020237B">
      <w:pPr>
        <w:pStyle w:val="ListParagraph"/>
        <w:numPr>
          <w:ilvl w:val="0"/>
          <w:numId w:val="2"/>
        </w:numPr>
      </w:pPr>
      <w:r>
        <w:t>Be able to identify qualifying like-kind property</w:t>
      </w:r>
    </w:p>
    <w:p w:rsidR="00032DFD" w:rsidRDefault="00032DFD" w:rsidP="0020237B">
      <w:pPr>
        <w:pStyle w:val="ListParagraph"/>
        <w:numPr>
          <w:ilvl w:val="0"/>
          <w:numId w:val="2"/>
        </w:numPr>
      </w:pPr>
      <w:r>
        <w:t>Know how to avoid unplanned tax consequences of improperly executed exchanges</w:t>
      </w:r>
    </w:p>
    <w:p w:rsidR="00032DFD" w:rsidRDefault="00032DFD" w:rsidP="0020237B">
      <w:pPr>
        <w:pStyle w:val="ListParagraph"/>
        <w:numPr>
          <w:ilvl w:val="0"/>
          <w:numId w:val="2"/>
        </w:numPr>
      </w:pPr>
      <w:r>
        <w:t>Know how to calculate the tax basis of property involved in an exchange</w:t>
      </w:r>
    </w:p>
    <w:p w:rsidR="00032DFD" w:rsidRDefault="00032DFD" w:rsidP="0020237B">
      <w:pPr>
        <w:pStyle w:val="ListParagraph"/>
        <w:numPr>
          <w:ilvl w:val="0"/>
          <w:numId w:val="2"/>
        </w:numPr>
      </w:pPr>
      <w:r>
        <w:t>Know how to report a like-kind exchange on a tax return</w:t>
      </w:r>
    </w:p>
    <w:p w:rsidR="0020237B" w:rsidRDefault="0020237B" w:rsidP="00E70F9D">
      <w:bookmarkStart w:id="0" w:name="_GoBack"/>
      <w:bookmarkEnd w:id="0"/>
    </w:p>
    <w:p w:rsidR="00400ED9" w:rsidRPr="00400ED9" w:rsidRDefault="00400ED9" w:rsidP="00E70F9D"/>
    <w:sectPr w:rsidR="00400ED9" w:rsidRPr="00400ED9" w:rsidSect="0073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F32"/>
    <w:multiLevelType w:val="hybridMultilevel"/>
    <w:tmpl w:val="8086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06199"/>
    <w:multiLevelType w:val="hybridMultilevel"/>
    <w:tmpl w:val="0B56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70F9D"/>
    <w:rsid w:val="00032DFD"/>
    <w:rsid w:val="00101C52"/>
    <w:rsid w:val="0020237B"/>
    <w:rsid w:val="00400ED9"/>
    <w:rsid w:val="004F4344"/>
    <w:rsid w:val="006931D5"/>
    <w:rsid w:val="006F3074"/>
    <w:rsid w:val="00733491"/>
    <w:rsid w:val="00866AC9"/>
    <w:rsid w:val="00933354"/>
    <w:rsid w:val="00B7085F"/>
    <w:rsid w:val="00BC5CB3"/>
    <w:rsid w:val="00C5175B"/>
    <w:rsid w:val="00E70F9D"/>
    <w:rsid w:val="00F6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4</cp:revision>
  <dcterms:created xsi:type="dcterms:W3CDTF">2012-04-03T17:49:00Z</dcterms:created>
  <dcterms:modified xsi:type="dcterms:W3CDTF">2014-07-03T23:54:00Z</dcterms:modified>
</cp:coreProperties>
</file>