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0E" w:rsidRPr="00943221" w:rsidRDefault="00B4505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SOUTH DAKOTA V. WAYFAIR:  WHAT CONSTITUTES SUBSTANTIAL NEXUS?</w:t>
      </w:r>
    </w:p>
    <w:p w:rsidR="000105F0" w:rsidRPr="00800417" w:rsidRDefault="00800417">
      <w:r>
        <w:t>Historically, online retailers needed to be physically present in a state i</w:t>
      </w:r>
      <w:r w:rsidR="00445608">
        <w:t>n order to be compelled by a s</w:t>
      </w:r>
      <w:r>
        <w:t>tate to collect state sales tax</w:t>
      </w:r>
      <w:r w:rsidR="00445608">
        <w:t xml:space="preserve">.  </w:t>
      </w:r>
      <w:r w:rsidR="002F0792">
        <w:t>T</w:t>
      </w:r>
      <w:r w:rsidR="000105F0">
        <w:t>he physical presence requirement resulted in an</w:t>
      </w:r>
      <w:r w:rsidR="00D62794">
        <w:t xml:space="preserve"> </w:t>
      </w:r>
      <w:r w:rsidR="00430C05">
        <w:t>inefficient “online sales tax loophole</w:t>
      </w:r>
      <w:r w:rsidR="002F0792">
        <w:t>.</w:t>
      </w:r>
      <w:r w:rsidR="00430C05">
        <w:t>”</w:t>
      </w:r>
      <w:r w:rsidR="002F0792">
        <w:t xml:space="preserve">  In a 5/4 split the Court determined</w:t>
      </w:r>
      <w:r>
        <w:t xml:space="preserve"> that the “anachronistic”</w:t>
      </w:r>
      <w:r w:rsidR="002F0792">
        <w:t xml:space="preserve"> </w:t>
      </w:r>
      <w:r w:rsidR="002F0792">
        <w:rPr>
          <w:u w:val="single"/>
        </w:rPr>
        <w:t>Quill</w:t>
      </w:r>
      <w:r w:rsidR="002F0792">
        <w:t xml:space="preserve"> physical presence standard was impractical and effectively discriminated against in-state sellers.  Requiring physical presence gave out-of-state retailers an advantage – consumers would purchase goods from them at an overall discount, because the retailer </w:t>
      </w:r>
      <w:r>
        <w:t>could not be</w:t>
      </w:r>
      <w:r w:rsidR="002F0792">
        <w:t xml:space="preserve"> compelled to collect the sales tax.  Now, with a more fair economic nexus rule, the Court has leveled </w:t>
      </w:r>
      <w:r>
        <w:t xml:space="preserve">the playing field as physical presence is </w:t>
      </w:r>
      <w:r w:rsidR="002F0792">
        <w:t xml:space="preserve">no longer necessary to meet the </w:t>
      </w:r>
      <w:r>
        <w:t>nexus standard or full-</w:t>
      </w:r>
      <w:r w:rsidR="002F0792">
        <w:t xml:space="preserve">test established in </w:t>
      </w:r>
      <w:r w:rsidR="002F0792">
        <w:rPr>
          <w:u w:val="single"/>
        </w:rPr>
        <w:t>Complete Auto Transit v. Brady.</w:t>
      </w:r>
    </w:p>
    <w:p w:rsidR="00A776F9" w:rsidRDefault="000105F0">
      <w:r>
        <w:t>Now,</w:t>
      </w:r>
      <w:r w:rsidR="002A7245">
        <w:t xml:space="preserve"> states can require remote sellers</w:t>
      </w:r>
      <w:r w:rsidR="00064D18">
        <w:t xml:space="preserve"> to </w:t>
      </w:r>
      <w:r w:rsidR="002A7245">
        <w:t>collect state</w:t>
      </w:r>
      <w:r w:rsidR="00064D18">
        <w:t xml:space="preserve"> sales </w:t>
      </w:r>
      <w:r w:rsidR="002A7245">
        <w:t>tax</w:t>
      </w:r>
      <w:r w:rsidR="00F81E9B">
        <w:t>, as long as</w:t>
      </w:r>
      <w:r w:rsidR="00A776F9">
        <w:t xml:space="preserve"> the </w:t>
      </w:r>
      <w:r w:rsidR="00A776F9">
        <w:rPr>
          <w:u w:val="single"/>
        </w:rPr>
        <w:t>Complete Auto Transit</w:t>
      </w:r>
      <w:r w:rsidR="00A776F9">
        <w:t xml:space="preserve"> </w:t>
      </w:r>
      <w:r w:rsidR="00800417">
        <w:t>test is met.  The test requires that:</w:t>
      </w:r>
      <w:r w:rsidR="00A776F9">
        <w:t xml:space="preserve">  (1) the tax applies to an activity with a sub</w:t>
      </w:r>
      <w:r w:rsidR="00800417">
        <w:t>stantial nexus with the taxing s</w:t>
      </w:r>
      <w:r w:rsidR="00A776F9">
        <w:t xml:space="preserve">tate; (2) </w:t>
      </w:r>
      <w:r w:rsidR="00090FF7">
        <w:t>whether the tax is fairly apportioned</w:t>
      </w:r>
      <w:r w:rsidR="00A776F9">
        <w:t>; (3) whether the tax discriminates against interstate commerce; or (4) whether the tax is fairly related to services provided by the state.</w:t>
      </w:r>
      <w:r w:rsidR="00090FF7">
        <w:rPr>
          <w:rStyle w:val="FootnoteReference"/>
        </w:rPr>
        <w:footnoteReference w:id="1"/>
      </w:r>
    </w:p>
    <w:p w:rsidR="00BF68C3" w:rsidRDefault="00F81E9B">
      <w:r>
        <w:t>The Court did not clearly set out a standard for</w:t>
      </w:r>
      <w:r w:rsidR="005C7703">
        <w:t xml:space="preserve"> taxing an “activity” with</w:t>
      </w:r>
      <w:r>
        <w:t xml:space="preserve"> “substantial nexus</w:t>
      </w:r>
      <w:r w:rsidR="008E64B8">
        <w:t xml:space="preserve">.”   </w:t>
      </w:r>
      <w:r w:rsidR="00800417">
        <w:t xml:space="preserve">They did, however, uphold </w:t>
      </w:r>
      <w:r w:rsidR="005C7703">
        <w:t>South Dakota</w:t>
      </w:r>
      <w:r w:rsidR="00800417">
        <w:t>’s</w:t>
      </w:r>
      <w:r w:rsidR="00430C05">
        <w:t xml:space="preserve"> economic nexus</w:t>
      </w:r>
      <w:r w:rsidR="008E64B8">
        <w:t xml:space="preserve"> legislation</w:t>
      </w:r>
      <w:r w:rsidR="00073C84">
        <w:t xml:space="preserve"> (S.B. 106)</w:t>
      </w:r>
      <w:r w:rsidR="00800417">
        <w:t>; leaving states with</w:t>
      </w:r>
      <w:r w:rsidR="008E64B8">
        <w:t xml:space="preserve"> a roadmap to he</w:t>
      </w:r>
      <w:r w:rsidR="00A776F9">
        <w:t>lp in determining what may qualify as substantial nexus</w:t>
      </w:r>
      <w:r w:rsidR="00090FF7">
        <w:t xml:space="preserve"> in the future</w:t>
      </w:r>
      <w:r w:rsidR="00A776F9">
        <w:t xml:space="preserve">.  </w:t>
      </w:r>
      <w:r w:rsidR="00090FF7">
        <w:t>R</w:t>
      </w:r>
      <w:r w:rsidR="00855645">
        <w:t>emote</w:t>
      </w:r>
      <w:r w:rsidR="00A776F9">
        <w:t xml:space="preserve"> retailer</w:t>
      </w:r>
      <w:r w:rsidR="00855645">
        <w:t xml:space="preserve">s lacking physical </w:t>
      </w:r>
      <w:r w:rsidR="00D62794">
        <w:t>presence</w:t>
      </w:r>
      <w:r w:rsidR="00855645">
        <w:t xml:space="preserve"> can still be </w:t>
      </w:r>
      <w:r w:rsidR="00090FF7">
        <w:t>subject to collecting sales tax</w:t>
      </w:r>
      <w:r w:rsidR="00855645">
        <w:t xml:space="preserve"> when the remote retailer</w:t>
      </w:r>
      <w:r w:rsidR="00A776F9">
        <w:t xml:space="preserve"> makes in-state sales exceeding $100K </w:t>
      </w:r>
      <w:r w:rsidR="00A776F9">
        <w:rPr>
          <w:i/>
        </w:rPr>
        <w:t>or</w:t>
      </w:r>
      <w:r w:rsidR="00A776F9">
        <w:t xml:space="preserve"> makes 200 or more separate sales transactions in</w:t>
      </w:r>
      <w:r w:rsidR="00855645">
        <w:t xml:space="preserve"> the previous or calendar year.</w:t>
      </w:r>
      <w:r w:rsidR="00090FF7">
        <w:rPr>
          <w:rStyle w:val="FootnoteReference"/>
        </w:rPr>
        <w:footnoteReference w:id="2"/>
      </w:r>
      <w:r w:rsidR="00855645">
        <w:t xml:space="preserve">  </w:t>
      </w:r>
      <w:r w:rsidR="000D76A1">
        <w:t>The Court found in this case that because Wayfair</w:t>
      </w:r>
      <w:r>
        <w:t xml:space="preserve"> </w:t>
      </w:r>
      <w:r w:rsidR="000D76A1">
        <w:t>“</w:t>
      </w:r>
      <w:r>
        <w:t>engage</w:t>
      </w:r>
      <w:r w:rsidR="00855645">
        <w:t>d</w:t>
      </w:r>
      <w:r>
        <w:t xml:space="preserve"> in a significant quantit</w:t>
      </w:r>
      <w:r w:rsidR="00855645">
        <w:t>y of business</w:t>
      </w:r>
      <w:r w:rsidR="000D76A1">
        <w:t>”</w:t>
      </w:r>
      <w:r w:rsidR="00855645">
        <w:t xml:space="preserve"> within the state and </w:t>
      </w:r>
      <w:r>
        <w:t>maintain</w:t>
      </w:r>
      <w:r w:rsidR="00855645">
        <w:t>ed</w:t>
      </w:r>
      <w:r>
        <w:t xml:space="preserve"> an </w:t>
      </w:r>
      <w:r w:rsidR="000D76A1">
        <w:t>“</w:t>
      </w:r>
      <w:r>
        <w:t>ext</w:t>
      </w:r>
      <w:r w:rsidR="00090FF7">
        <w:t>ensive virtual presence</w:t>
      </w:r>
      <w:r w:rsidR="000D76A1">
        <w:t>”</w:t>
      </w:r>
      <w:r w:rsidR="00090FF7">
        <w:t xml:space="preserve"> allowing the Court to find “substantial nexus”.</w:t>
      </w:r>
      <w:r w:rsidR="000D76A1">
        <w:rPr>
          <w:rStyle w:val="FootnoteReference"/>
        </w:rPr>
        <w:footnoteReference w:id="3"/>
      </w:r>
    </w:p>
    <w:p w:rsidR="00943221" w:rsidRDefault="009C71C5" w:rsidP="00943221">
      <w:r>
        <w:t xml:space="preserve">According to </w:t>
      </w:r>
      <w:proofErr w:type="spellStart"/>
      <w:r>
        <w:t>Chrease</w:t>
      </w:r>
      <w:proofErr w:type="spellEnd"/>
      <w:r>
        <w:t xml:space="preserve"> Dickerson, a tax law editor for Bloomberg Tax, “16 states [have] indicated that their state sales tax policy was based on economic nexus”</w:t>
      </w:r>
      <w:r w:rsidR="00943221">
        <w:t xml:space="preserve">.  Other states </w:t>
      </w:r>
      <w:r w:rsidR="000D76A1">
        <w:t xml:space="preserve">like Georgia and Illinois </w:t>
      </w:r>
      <w:r w:rsidR="00943221">
        <w:t xml:space="preserve">have been passing legislation in the wake of </w:t>
      </w:r>
      <w:r w:rsidR="00943221">
        <w:rPr>
          <w:u w:val="single"/>
        </w:rPr>
        <w:t>Wayfair</w:t>
      </w:r>
      <w:r w:rsidR="000D76A1">
        <w:t>.  Georgia’s new legislation</w:t>
      </w:r>
      <w:r w:rsidR="00073C84">
        <w:t xml:space="preserve"> requires online retailers who make $250K </w:t>
      </w:r>
      <w:r w:rsidR="00073C84" w:rsidRPr="00943221">
        <w:rPr>
          <w:i/>
        </w:rPr>
        <w:t>or</w:t>
      </w:r>
      <w:r w:rsidR="00073C84">
        <w:t xml:space="preserve"> 200 sales a year in GA to either:  (1) collect and remit the state sales tax; or, (2) send “tax due” notices each year to customers spending $500 or more on their websites.</w:t>
      </w:r>
      <w:r w:rsidR="00073C84">
        <w:rPr>
          <w:rStyle w:val="FootnoteReference"/>
        </w:rPr>
        <w:footnoteReference w:id="4"/>
      </w:r>
      <w:r w:rsidR="000D76A1">
        <w:t xml:space="preserve">  Illinois</w:t>
      </w:r>
      <w:r w:rsidR="00073C84">
        <w:t xml:space="preserve"> requires online retailers to charge sales tax to Illinois customers if the business has more than $100K in sales or if more than 200 separate transactions take place, per year.</w:t>
      </w:r>
      <w:r w:rsidR="00073C84">
        <w:rPr>
          <w:rStyle w:val="FootnoteReference"/>
        </w:rPr>
        <w:footnoteReference w:id="5"/>
      </w:r>
      <w:r w:rsidR="00943221">
        <w:t xml:space="preserve"> </w:t>
      </w:r>
    </w:p>
    <w:p w:rsidR="002C3A0E" w:rsidRPr="000D76A1" w:rsidRDefault="000D76A1">
      <w:r>
        <w:t xml:space="preserve">The case was remanded to determine whether the law satisfies the remaining three prongs of the </w:t>
      </w:r>
      <w:r>
        <w:rPr>
          <w:u w:val="single"/>
        </w:rPr>
        <w:t>Complete Auto Transit</w:t>
      </w:r>
      <w:r>
        <w:t xml:space="preserve"> test above.  </w:t>
      </w:r>
    </w:p>
    <w:sectPr w:rsidR="002C3A0E" w:rsidRPr="000D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FC" w:rsidRDefault="001D6DFC" w:rsidP="002C3A0E">
      <w:pPr>
        <w:spacing w:after="0" w:line="240" w:lineRule="auto"/>
      </w:pPr>
      <w:r>
        <w:separator/>
      </w:r>
    </w:p>
  </w:endnote>
  <w:endnote w:type="continuationSeparator" w:id="0">
    <w:p w:rsidR="001D6DFC" w:rsidRDefault="001D6DFC" w:rsidP="002C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FC" w:rsidRDefault="001D6DFC" w:rsidP="002C3A0E">
      <w:pPr>
        <w:spacing w:after="0" w:line="240" w:lineRule="auto"/>
      </w:pPr>
      <w:r>
        <w:separator/>
      </w:r>
    </w:p>
  </w:footnote>
  <w:footnote w:type="continuationSeparator" w:id="0">
    <w:p w:rsidR="001D6DFC" w:rsidRDefault="001D6DFC" w:rsidP="002C3A0E">
      <w:pPr>
        <w:spacing w:after="0" w:line="240" w:lineRule="auto"/>
      </w:pPr>
      <w:r>
        <w:continuationSeparator/>
      </w:r>
    </w:p>
  </w:footnote>
  <w:footnote w:id="1">
    <w:p w:rsidR="00090FF7" w:rsidRPr="00090FF7" w:rsidRDefault="00090F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u w:val="single"/>
        </w:rPr>
        <w:t>Complete Auto Transit</w:t>
      </w:r>
      <w:r w:rsidR="000D76A1">
        <w:rPr>
          <w:u w:val="single"/>
        </w:rPr>
        <w:t>, Inc. v. Brady,</w:t>
      </w:r>
      <w:r w:rsidR="000D76A1">
        <w:t xml:space="preserve"> 430 U.S. 274 (1977).</w:t>
      </w:r>
      <w:proofErr w:type="gramEnd"/>
    </w:p>
  </w:footnote>
  <w:footnote w:id="2">
    <w:p w:rsidR="00090FF7" w:rsidRDefault="00090FF7">
      <w:pPr>
        <w:pStyle w:val="FootnoteText"/>
      </w:pPr>
      <w:r>
        <w:rPr>
          <w:rStyle w:val="FootnoteReference"/>
        </w:rPr>
        <w:footnoteRef/>
      </w:r>
      <w:r>
        <w:t xml:space="preserve"> South Dakota (S.B. 106).</w:t>
      </w:r>
    </w:p>
  </w:footnote>
  <w:footnote w:id="3">
    <w:p w:rsidR="000D76A1" w:rsidRPr="000D76A1" w:rsidRDefault="000D76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u w:val="single"/>
        </w:rPr>
        <w:t>South Dakota v. Wayfair</w:t>
      </w:r>
      <w:r>
        <w:t>.</w:t>
      </w:r>
      <w:proofErr w:type="gramEnd"/>
    </w:p>
  </w:footnote>
  <w:footnote w:id="4">
    <w:p w:rsidR="00073C84" w:rsidRDefault="00073C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3C84">
        <w:t>https://www.accountingtoday.com/news/states-plan-for-a-post-wayfair-world</w:t>
      </w:r>
      <w:r w:rsidR="000D76A1">
        <w:t>.</w:t>
      </w:r>
    </w:p>
  </w:footnote>
  <w:footnote w:id="5">
    <w:p w:rsidR="00073C84" w:rsidRDefault="00073C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3C84">
        <w:t>https://qctimes.com/news/local/illinois-lawmakers-ponder-online-sales-tax/article_e58b1697-7245-5d93-9811-8227ec9fa0ec.html</w:t>
      </w:r>
      <w:r w:rsidR="000D76A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14"/>
    <w:multiLevelType w:val="hybridMultilevel"/>
    <w:tmpl w:val="3798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64"/>
    <w:rsid w:val="000105F0"/>
    <w:rsid w:val="00064D18"/>
    <w:rsid w:val="00073C84"/>
    <w:rsid w:val="00090FF7"/>
    <w:rsid w:val="000D76A1"/>
    <w:rsid w:val="000F73C1"/>
    <w:rsid w:val="00144B64"/>
    <w:rsid w:val="001B450B"/>
    <w:rsid w:val="001D6DFC"/>
    <w:rsid w:val="002A7245"/>
    <w:rsid w:val="002C3A0E"/>
    <w:rsid w:val="002F0792"/>
    <w:rsid w:val="003A785A"/>
    <w:rsid w:val="00430C05"/>
    <w:rsid w:val="00445608"/>
    <w:rsid w:val="005C7703"/>
    <w:rsid w:val="006007ED"/>
    <w:rsid w:val="006C1591"/>
    <w:rsid w:val="00757997"/>
    <w:rsid w:val="00800417"/>
    <w:rsid w:val="00855645"/>
    <w:rsid w:val="008E440C"/>
    <w:rsid w:val="008E64B8"/>
    <w:rsid w:val="00943221"/>
    <w:rsid w:val="009C71C5"/>
    <w:rsid w:val="00A776F9"/>
    <w:rsid w:val="00B111CF"/>
    <w:rsid w:val="00B35364"/>
    <w:rsid w:val="00B45053"/>
    <w:rsid w:val="00BF68C3"/>
    <w:rsid w:val="00D62794"/>
    <w:rsid w:val="00F478A7"/>
    <w:rsid w:val="00F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3A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A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3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3A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A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AD67-90EF-453A-ABE5-8F6F35B8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Classroom-Law</dc:creator>
  <cp:lastModifiedBy>Classroom-Law</cp:lastModifiedBy>
  <cp:revision>2</cp:revision>
  <dcterms:created xsi:type="dcterms:W3CDTF">2018-07-12T20:07:00Z</dcterms:created>
  <dcterms:modified xsi:type="dcterms:W3CDTF">2018-07-12T20:07:00Z</dcterms:modified>
</cp:coreProperties>
</file>