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33" w:rsidRDefault="00D67CB4" w:rsidP="00146ECF">
      <w:pPr>
        <w:pBdr>
          <w:top w:val="threeDEmboss" w:sz="24" w:space="1" w:color="auto"/>
          <w:left w:val="threeDEmboss" w:sz="24" w:space="4" w:color="auto"/>
          <w:bottom w:val="threeDEngrave" w:sz="24" w:space="1" w:color="auto"/>
          <w:right w:val="threeDEngrave" w:sz="24" w:space="4" w:color="auto"/>
        </w:pBdr>
        <w:spacing w:after="0"/>
        <w:jc w:val="center"/>
        <w:rPr>
          <w:color w:val="943634" w:themeColor="accent2" w:themeShade="BF"/>
          <w:sz w:val="48"/>
          <w:szCs w:val="48"/>
        </w:rPr>
      </w:pPr>
      <w:r>
        <w:rPr>
          <w:noProof/>
          <w:sz w:val="44"/>
          <w:szCs w:val="44"/>
        </w:rPr>
        <w:drawing>
          <wp:inline distT="0" distB="0" distL="0" distR="0" wp14:anchorId="6A0685C9" wp14:editId="17475B65">
            <wp:extent cx="33718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0" cy="1314450"/>
                    </a:xfrm>
                    <a:prstGeom prst="rect">
                      <a:avLst/>
                    </a:prstGeom>
                    <a:noFill/>
                    <a:ln>
                      <a:noFill/>
                    </a:ln>
                  </pic:spPr>
                </pic:pic>
              </a:graphicData>
            </a:graphic>
          </wp:inline>
        </w:drawing>
      </w:r>
    </w:p>
    <w:p w:rsidR="00D67CB4" w:rsidRPr="003535DE" w:rsidRDefault="003915E6" w:rsidP="00D67CB4">
      <w:pPr>
        <w:spacing w:after="0"/>
        <w:jc w:val="center"/>
        <w:rPr>
          <w:rFonts w:ascii="Times New Roman" w:eastAsia="Times New Roman" w:hAnsi="Times New Roman" w:cs="Times New Roman"/>
          <w:snapToGrid w:val="0"/>
          <w:color w:val="632423" w:themeColor="accent2" w:themeShade="80"/>
          <w:w w:val="0"/>
          <w:sz w:val="52"/>
          <w:szCs w:val="52"/>
          <w:u w:color="000000"/>
          <w:bdr w:val="none" w:sz="0" w:space="0" w:color="000000"/>
          <w:shd w:val="clear" w:color="000000" w:fill="000000"/>
          <w:lang w:eastAsia="x-none" w:bidi="x-none"/>
        </w:rPr>
      </w:pPr>
      <w:r w:rsidRPr="003535DE">
        <w:rPr>
          <w:color w:val="632423" w:themeColor="accent2" w:themeShade="80"/>
          <w:sz w:val="52"/>
          <w:szCs w:val="52"/>
        </w:rPr>
        <w:t>“Taxation with Smart Representation”</w:t>
      </w:r>
      <w:r w:rsidR="00045B9C" w:rsidRPr="003535DE">
        <w:rPr>
          <w:rFonts w:ascii="Times New Roman" w:eastAsia="Times New Roman" w:hAnsi="Times New Roman" w:cs="Times New Roman"/>
          <w:snapToGrid w:val="0"/>
          <w:color w:val="632423" w:themeColor="accent2" w:themeShade="80"/>
          <w:w w:val="0"/>
          <w:sz w:val="52"/>
          <w:szCs w:val="52"/>
          <w:u w:color="000000"/>
          <w:bdr w:val="none" w:sz="0" w:space="0" w:color="000000"/>
          <w:shd w:val="clear" w:color="000000" w:fill="000000"/>
          <w:lang w:val="x-none" w:eastAsia="x-none" w:bidi="x-none"/>
        </w:rPr>
        <w:t xml:space="preserve"> </w:t>
      </w:r>
    </w:p>
    <w:p w:rsidR="00D67CB4" w:rsidRDefault="00D67CB4" w:rsidP="00D67CB4">
      <w:pPr>
        <w:pBdr>
          <w:bottom w:val="single" w:sz="12" w:space="1" w:color="auto"/>
        </w:pBd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535DE" w:rsidRDefault="003535DE" w:rsidP="00D67CB4">
      <w:pPr>
        <w:pBdr>
          <w:bottom w:val="single" w:sz="12" w:space="1" w:color="auto"/>
        </w:pBd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915E6" w:rsidRDefault="007F2AE1" w:rsidP="00D67CB4">
      <w:pPr>
        <w:spacing w:after="0"/>
        <w:jc w:val="center"/>
        <w:rPr>
          <w:color w:val="000000" w:themeColor="text1"/>
          <w:sz w:val="28"/>
          <w:szCs w:val="28"/>
        </w:rPr>
      </w:pPr>
      <w:r w:rsidRPr="00C908FA">
        <w:rPr>
          <w:noProof/>
          <w:color w:val="000000" w:themeColor="text1"/>
          <w:sz w:val="20"/>
          <w:szCs w:val="20"/>
        </w:rPr>
        <mc:AlternateContent>
          <mc:Choice Requires="wps">
            <w:drawing>
              <wp:anchor distT="0" distB="0" distL="114300" distR="114300" simplePos="0" relativeHeight="251659264" behindDoc="0" locked="0" layoutInCell="1" allowOverlap="1" wp14:anchorId="659F177B" wp14:editId="2354BA61">
                <wp:simplePos x="0" y="0"/>
                <wp:positionH relativeFrom="column">
                  <wp:posOffset>390525</wp:posOffset>
                </wp:positionH>
                <wp:positionV relativeFrom="paragraph">
                  <wp:posOffset>150495</wp:posOffset>
                </wp:positionV>
                <wp:extent cx="2295525" cy="5410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10200"/>
                        </a:xfrm>
                        <a:prstGeom prst="rect">
                          <a:avLst/>
                        </a:prstGeom>
                        <a:solidFill>
                          <a:srgbClr val="FFFFFF"/>
                        </a:solidFill>
                        <a:ln w="9525">
                          <a:solidFill>
                            <a:srgbClr val="000000"/>
                          </a:solidFill>
                          <a:miter lim="800000"/>
                          <a:headEnd/>
                          <a:tailEnd/>
                        </a:ln>
                      </wps:spPr>
                      <wps:txbx>
                        <w:txbxContent>
                          <w:p w:rsidR="003535DE" w:rsidRPr="001F141B" w:rsidRDefault="003535DE" w:rsidP="003535DE">
                            <w:pPr>
                              <w:spacing w:after="0"/>
                              <w:rPr>
                                <w:color w:val="632423" w:themeColor="accent2" w:themeShade="80"/>
                                <w:sz w:val="20"/>
                                <w:szCs w:val="20"/>
                              </w:rPr>
                            </w:pPr>
                            <w:r w:rsidRPr="001F141B">
                              <w:rPr>
                                <w:b/>
                                <w:color w:val="632423" w:themeColor="accent2" w:themeShade="80"/>
                              </w:rPr>
                              <w:t>Tax season is never easy.</w:t>
                            </w:r>
                            <w:r w:rsidRPr="001F141B">
                              <w:rPr>
                                <w:b/>
                                <w:color w:val="632423" w:themeColor="accent2" w:themeShade="80"/>
                                <w:sz w:val="20"/>
                                <w:szCs w:val="20"/>
                              </w:rPr>
                              <w:t xml:space="preserve"> </w:t>
                            </w:r>
                            <w:r w:rsidRPr="001F141B">
                              <w:rPr>
                                <w:color w:val="632423" w:themeColor="accent2" w:themeShade="80"/>
                                <w:sz w:val="20"/>
                                <w:szCs w:val="20"/>
                              </w:rPr>
                              <w:t xml:space="preserve">This year, why not make it a little easier and less expensive by getting affordable, smart professional help? </w:t>
                            </w:r>
                          </w:p>
                          <w:p w:rsidR="003535DE" w:rsidRPr="001F141B" w:rsidRDefault="003535DE" w:rsidP="003535DE">
                            <w:pPr>
                              <w:spacing w:after="0" w:line="240" w:lineRule="auto"/>
                              <w:rPr>
                                <w:color w:val="632423" w:themeColor="accent2" w:themeShade="80"/>
                                <w:sz w:val="20"/>
                                <w:szCs w:val="20"/>
                              </w:rPr>
                            </w:pPr>
                          </w:p>
                          <w:p w:rsidR="003535DE" w:rsidRPr="001F141B" w:rsidRDefault="003535DE" w:rsidP="003535DE">
                            <w:pPr>
                              <w:spacing w:after="0"/>
                              <w:rPr>
                                <w:color w:val="632423" w:themeColor="accent2" w:themeShade="80"/>
                                <w:sz w:val="20"/>
                                <w:szCs w:val="20"/>
                              </w:rPr>
                            </w:pPr>
                            <w:r w:rsidRPr="001F141B">
                              <w:rPr>
                                <w:color w:val="632423" w:themeColor="accent2" w:themeShade="80"/>
                                <w:sz w:val="20"/>
                                <w:szCs w:val="20"/>
                              </w:rPr>
                              <w:t xml:space="preserve">Whether you’re the head of a small business or a small family, you’ll benefit from letting a tax professional handle your taxes and other financial responsibilities. </w:t>
                            </w:r>
                          </w:p>
                          <w:p w:rsidR="003535DE" w:rsidRPr="001F141B" w:rsidRDefault="003535DE" w:rsidP="003535DE">
                            <w:pPr>
                              <w:spacing w:after="0" w:line="240" w:lineRule="auto"/>
                              <w:rPr>
                                <w:color w:val="632423" w:themeColor="accent2" w:themeShade="80"/>
                                <w:sz w:val="20"/>
                                <w:szCs w:val="20"/>
                              </w:rPr>
                            </w:pPr>
                          </w:p>
                          <w:p w:rsidR="003535DE" w:rsidRPr="001F141B" w:rsidRDefault="003535DE" w:rsidP="003535DE">
                            <w:pPr>
                              <w:rPr>
                                <w:color w:val="632423" w:themeColor="accent2" w:themeShade="80"/>
                                <w:sz w:val="20"/>
                                <w:szCs w:val="20"/>
                              </w:rPr>
                            </w:pPr>
                            <w:r w:rsidRPr="001F141B">
                              <w:rPr>
                                <w:color w:val="632423" w:themeColor="accent2" w:themeShade="80"/>
                                <w:sz w:val="20"/>
                                <w:szCs w:val="20"/>
                              </w:rPr>
                              <w:t xml:space="preserve">TaxBrainiaX staff has more than 50 years of combined experience in the tax industry helping individuals and businesses of all sizes prepare their taxes, manage their tax resolution, and plan for the future. Our friendly service makes the process less stressful and easier to understand, and our experience and knowledge ensure that we are always up to date on the latest changes to tax laws and IRS regulations. Our rates are competitive and clearly defined, so you won’t pay for more than you really need. </w:t>
                            </w:r>
                            <w:r w:rsidR="00C90D2D">
                              <w:rPr>
                                <w:color w:val="632423" w:themeColor="accent2" w:themeShade="80"/>
                                <w:sz w:val="20"/>
                                <w:szCs w:val="20"/>
                              </w:rPr>
                              <w:t xml:space="preserve">Call today for a </w:t>
                            </w:r>
                            <w:r w:rsidR="00C90D2D" w:rsidRPr="00C90D2D">
                              <w:rPr>
                                <w:b/>
                                <w:color w:val="632423" w:themeColor="accent2" w:themeShade="80"/>
                                <w:sz w:val="20"/>
                                <w:szCs w:val="20"/>
                              </w:rPr>
                              <w:t>FREE</w:t>
                            </w:r>
                            <w:r w:rsidRPr="00C90D2D">
                              <w:rPr>
                                <w:b/>
                                <w:color w:val="632423" w:themeColor="accent2" w:themeShade="80"/>
                                <w:sz w:val="20"/>
                                <w:szCs w:val="20"/>
                              </w:rPr>
                              <w:t xml:space="preserve"> </w:t>
                            </w:r>
                            <w:r w:rsidR="00C90D2D">
                              <w:rPr>
                                <w:color w:val="632423" w:themeColor="accent2" w:themeShade="80"/>
                                <w:sz w:val="20"/>
                                <w:szCs w:val="20"/>
                              </w:rPr>
                              <w:t>consultation!</w:t>
                            </w:r>
                            <w:r w:rsidRPr="001F141B">
                              <w:rPr>
                                <w:color w:val="632423" w:themeColor="accent2" w:themeShade="80"/>
                                <w:sz w:val="20"/>
                                <w:szCs w:val="20"/>
                              </w:rPr>
                              <w:t xml:space="preserve"> </w:t>
                            </w:r>
                          </w:p>
                          <w:p w:rsidR="00045B9C" w:rsidRPr="00F10331" w:rsidRDefault="00045B9C" w:rsidP="00F10331">
                            <w:pPr>
                              <w:rPr>
                                <w:color w:val="632423" w:themeColor="accent2"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11.85pt;width:180.7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">
                <v:textbox>
                  <w:txbxContent>
                    <w:p w:rsidR="003535DE" w:rsidRPr="001F141B" w:rsidRDefault="003535DE" w:rsidP="003535DE">
                      <w:pPr>
                        <w:spacing w:after="0"/>
                        <w:rPr>
                          <w:color w:val="632423" w:themeColor="accent2" w:themeShade="80"/>
                          <w:sz w:val="20"/>
                          <w:szCs w:val="20"/>
                        </w:rPr>
                      </w:pPr>
                      <w:r w:rsidRPr="001F141B">
                        <w:rPr>
                          <w:b/>
                          <w:color w:val="632423" w:themeColor="accent2" w:themeShade="80"/>
                        </w:rPr>
                        <w:t>Tax season is never easy.</w:t>
                      </w:r>
                      <w:r w:rsidRPr="001F141B">
                        <w:rPr>
                          <w:b/>
                          <w:color w:val="632423" w:themeColor="accent2" w:themeShade="80"/>
                          <w:sz w:val="20"/>
                          <w:szCs w:val="20"/>
                        </w:rPr>
                        <w:t xml:space="preserve"> </w:t>
                      </w:r>
                      <w:r w:rsidRPr="001F141B">
                        <w:rPr>
                          <w:color w:val="632423" w:themeColor="accent2" w:themeShade="80"/>
                          <w:sz w:val="20"/>
                          <w:szCs w:val="20"/>
                        </w:rPr>
                        <w:t xml:space="preserve">This year, why not make it a little easier and less expensive by getting affordable, smart professional help? </w:t>
                      </w:r>
                    </w:p>
                    <w:p w:rsidR="003535DE" w:rsidRPr="001F141B" w:rsidRDefault="003535DE" w:rsidP="003535DE">
                      <w:pPr>
                        <w:spacing w:after="0" w:line="240" w:lineRule="auto"/>
                        <w:rPr>
                          <w:color w:val="632423" w:themeColor="accent2" w:themeShade="80"/>
                          <w:sz w:val="20"/>
                          <w:szCs w:val="20"/>
                        </w:rPr>
                      </w:pPr>
                    </w:p>
                    <w:p w:rsidR="003535DE" w:rsidRPr="001F141B" w:rsidRDefault="003535DE" w:rsidP="003535DE">
                      <w:pPr>
                        <w:spacing w:after="0"/>
                        <w:rPr>
                          <w:color w:val="632423" w:themeColor="accent2" w:themeShade="80"/>
                          <w:sz w:val="20"/>
                          <w:szCs w:val="20"/>
                        </w:rPr>
                      </w:pPr>
                      <w:r w:rsidRPr="001F141B">
                        <w:rPr>
                          <w:color w:val="632423" w:themeColor="accent2" w:themeShade="80"/>
                          <w:sz w:val="20"/>
                          <w:szCs w:val="20"/>
                        </w:rPr>
                        <w:t xml:space="preserve">Whether you’re the head of a small business or a small family, you’ll benefit from letting a tax professional handle your taxes and other financial responsibilities. </w:t>
                      </w:r>
                    </w:p>
                    <w:p w:rsidR="003535DE" w:rsidRPr="001F141B" w:rsidRDefault="003535DE" w:rsidP="003535DE">
                      <w:pPr>
                        <w:spacing w:after="0" w:line="240" w:lineRule="auto"/>
                        <w:rPr>
                          <w:color w:val="632423" w:themeColor="accent2" w:themeShade="80"/>
                          <w:sz w:val="20"/>
                          <w:szCs w:val="20"/>
                        </w:rPr>
                      </w:pPr>
                    </w:p>
                    <w:p w:rsidR="003535DE" w:rsidRPr="001F141B" w:rsidRDefault="003535DE" w:rsidP="003535DE">
                      <w:pPr>
                        <w:rPr>
                          <w:color w:val="632423" w:themeColor="accent2" w:themeShade="80"/>
                          <w:sz w:val="20"/>
                          <w:szCs w:val="20"/>
                        </w:rPr>
                      </w:pPr>
                      <w:r w:rsidRPr="001F141B">
                        <w:rPr>
                          <w:color w:val="632423" w:themeColor="accent2" w:themeShade="80"/>
                          <w:sz w:val="20"/>
                          <w:szCs w:val="20"/>
                        </w:rPr>
                        <w:t xml:space="preserve">TaxBrainiaX staff has more than 50 years of combined experience in the tax industry helping individuals and businesses of all sizes prepare their taxes, manage their tax resolution, and plan for the future. Our friendly service makes the process less stressful and easier to understand, and our experience and knowledge ensure that we are always up to date on the latest changes to tax laws and IRS regulations. Our rates are competitive and clearly defined, so you won’t pay for more than you really need. </w:t>
                      </w:r>
                      <w:r w:rsidR="00C90D2D">
                        <w:rPr>
                          <w:color w:val="632423" w:themeColor="accent2" w:themeShade="80"/>
                          <w:sz w:val="20"/>
                          <w:szCs w:val="20"/>
                        </w:rPr>
                        <w:t xml:space="preserve">Call today for a </w:t>
                      </w:r>
                      <w:r w:rsidR="00C90D2D" w:rsidRPr="00C90D2D">
                        <w:rPr>
                          <w:b/>
                          <w:color w:val="632423" w:themeColor="accent2" w:themeShade="80"/>
                          <w:sz w:val="20"/>
                          <w:szCs w:val="20"/>
                        </w:rPr>
                        <w:t>FREE</w:t>
                      </w:r>
                      <w:r w:rsidRPr="00C90D2D">
                        <w:rPr>
                          <w:b/>
                          <w:color w:val="632423" w:themeColor="accent2" w:themeShade="80"/>
                          <w:sz w:val="20"/>
                          <w:szCs w:val="20"/>
                        </w:rPr>
                        <w:t xml:space="preserve"> </w:t>
                      </w:r>
                      <w:r w:rsidR="00C90D2D">
                        <w:rPr>
                          <w:color w:val="632423" w:themeColor="accent2" w:themeShade="80"/>
                          <w:sz w:val="20"/>
                          <w:szCs w:val="20"/>
                        </w:rPr>
                        <w:t>consultation!</w:t>
                      </w:r>
                      <w:r w:rsidRPr="001F141B">
                        <w:rPr>
                          <w:color w:val="632423" w:themeColor="accent2" w:themeShade="80"/>
                          <w:sz w:val="20"/>
                          <w:szCs w:val="20"/>
                        </w:rPr>
                        <w:t xml:space="preserve"> </w:t>
                      </w:r>
                    </w:p>
                    <w:p w:rsidR="00045B9C" w:rsidRPr="00F10331" w:rsidRDefault="00045B9C" w:rsidP="00F10331">
                      <w:pPr>
                        <w:rPr>
                          <w:color w:val="632423" w:themeColor="accent2" w:themeShade="80"/>
                          <w:sz w:val="24"/>
                          <w:szCs w:val="24"/>
                        </w:rPr>
                      </w:pPr>
                    </w:p>
                  </w:txbxContent>
                </v:textbox>
              </v:shape>
            </w:pict>
          </mc:Fallback>
        </mc:AlternateContent>
      </w:r>
      <w:r w:rsidRPr="00885C0E">
        <w:rPr>
          <w:noProof/>
          <w:color w:val="000000" w:themeColor="text1"/>
          <w:sz w:val="28"/>
          <w:szCs w:val="28"/>
        </w:rPr>
        <mc:AlternateContent>
          <mc:Choice Requires="wps">
            <w:drawing>
              <wp:anchor distT="91440" distB="91440" distL="114300" distR="114300" simplePos="0" relativeHeight="251661312" behindDoc="0" locked="0" layoutInCell="0" allowOverlap="1" wp14:anchorId="122297B8" wp14:editId="5423346D">
                <wp:simplePos x="0" y="0"/>
                <wp:positionH relativeFrom="margin">
                  <wp:posOffset>3238500</wp:posOffset>
                </wp:positionH>
                <wp:positionV relativeFrom="margin">
                  <wp:posOffset>2219960</wp:posOffset>
                </wp:positionV>
                <wp:extent cx="2647950" cy="5400675"/>
                <wp:effectExtent l="38100" t="38100" r="114300"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7950" cy="54006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45B9C" w:rsidRPr="0011494F" w:rsidRDefault="00045B9C" w:rsidP="003535DE">
                            <w:pPr>
                              <w:spacing w:line="360" w:lineRule="auto"/>
                              <w:jc w:val="center"/>
                              <w:rPr>
                                <w:b/>
                                <w:color w:val="632423" w:themeColor="accent2" w:themeShade="80"/>
                                <w:sz w:val="28"/>
                                <w:szCs w:val="28"/>
                              </w:rPr>
                            </w:pPr>
                            <w:r w:rsidRPr="0011494F">
                              <w:rPr>
                                <w:b/>
                                <w:color w:val="632423" w:themeColor="accent2" w:themeShade="80"/>
                                <w:sz w:val="28"/>
                                <w:szCs w:val="28"/>
                              </w:rPr>
                              <w:t>Our Services include:</w:t>
                            </w:r>
                          </w:p>
                          <w:p w:rsidR="00045B9C"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Federal and State Tax Preparation</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Wage Garnishment Releases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Removal/Withdrawal of Federal Tax Liens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Installment Agreements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 xml:space="preserve">Settlement of Back Taxes </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Trust Fund Recovery Penalties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Offer</w:t>
                            </w:r>
                            <w:r w:rsidR="00885DC1">
                              <w:rPr>
                                <w:color w:val="632423" w:themeColor="accent2" w:themeShade="80"/>
                                <w:sz w:val="18"/>
                                <w:szCs w:val="18"/>
                              </w:rPr>
                              <w:t>s</w:t>
                            </w:r>
                            <w:r w:rsidRPr="0079748A">
                              <w:rPr>
                                <w:color w:val="632423" w:themeColor="accent2" w:themeShade="80"/>
                                <w:sz w:val="18"/>
                                <w:szCs w:val="18"/>
                              </w:rPr>
                              <w:t xml:space="preserve"> in Compromise</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IRS Appeals</w:t>
                            </w:r>
                          </w:p>
                          <w:p w:rsid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 xml:space="preserve">Revenue Officer Services </w:t>
                            </w:r>
                          </w:p>
                          <w:p w:rsidR="007F2AE1" w:rsidRPr="0079748A" w:rsidRDefault="007F2AE1" w:rsidP="00720D73">
                            <w:pPr>
                              <w:numPr>
                                <w:ilvl w:val="0"/>
                                <w:numId w:val="1"/>
                              </w:numPr>
                              <w:spacing w:line="360" w:lineRule="auto"/>
                              <w:rPr>
                                <w:color w:val="632423" w:themeColor="accent2" w:themeShade="80"/>
                                <w:sz w:val="18"/>
                                <w:szCs w:val="18"/>
                              </w:rPr>
                            </w:pPr>
                            <w:r>
                              <w:rPr>
                                <w:color w:val="632423" w:themeColor="accent2" w:themeShade="80"/>
                                <w:sz w:val="18"/>
                                <w:szCs w:val="18"/>
                              </w:rPr>
                              <w:t>Small Business Services:</w:t>
                            </w:r>
                            <w:r>
                              <w:rPr>
                                <w:color w:val="632423" w:themeColor="accent2" w:themeShade="80"/>
                                <w:sz w:val="18"/>
                                <w:szCs w:val="18"/>
                              </w:rPr>
                              <w:br/>
                              <w:t>Bookkeeping</w:t>
                            </w:r>
                            <w:r>
                              <w:rPr>
                                <w:color w:val="632423" w:themeColor="accent2" w:themeShade="80"/>
                                <w:sz w:val="18"/>
                                <w:szCs w:val="18"/>
                              </w:rPr>
                              <w:br/>
                              <w:t>Payroll Tax Returns</w:t>
                            </w:r>
                            <w:r>
                              <w:rPr>
                                <w:color w:val="632423" w:themeColor="accent2" w:themeShade="80"/>
                                <w:sz w:val="18"/>
                                <w:szCs w:val="18"/>
                              </w:rPr>
                              <w:br/>
                              <w:t>Sales Tax Returns</w:t>
                            </w:r>
                            <w:r>
                              <w:rPr>
                                <w:color w:val="632423" w:themeColor="accent2" w:themeShade="80"/>
                                <w:sz w:val="18"/>
                                <w:szCs w:val="18"/>
                              </w:rPr>
                              <w:br/>
                              <w:t>Forms W-2 &amp; 1099 preparation</w:t>
                            </w:r>
                          </w:p>
                          <w:p w:rsidR="00045B9C" w:rsidRPr="00D67CB4" w:rsidRDefault="00045B9C" w:rsidP="0011494F">
                            <w:pPr>
                              <w:jc w:val="center"/>
                              <w:rPr>
                                <w:b/>
                                <w:color w:val="632423" w:themeColor="accent2" w:themeShade="80"/>
                                <w:sz w:val="18"/>
                                <w:szCs w:val="18"/>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left:0;text-align:left;margin-left:255pt;margin-top:174.8pt;width:208.5pt;height:425.2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045B9C" w:rsidRPr="0011494F" w:rsidRDefault="00045B9C" w:rsidP="003535DE">
                      <w:pPr>
                        <w:spacing w:line="360" w:lineRule="auto"/>
                        <w:jc w:val="center"/>
                        <w:rPr>
                          <w:b/>
                          <w:color w:val="632423" w:themeColor="accent2" w:themeShade="80"/>
                          <w:sz w:val="28"/>
                          <w:szCs w:val="28"/>
                        </w:rPr>
                      </w:pPr>
                      <w:r w:rsidRPr="0011494F">
                        <w:rPr>
                          <w:b/>
                          <w:color w:val="632423" w:themeColor="accent2" w:themeShade="80"/>
                          <w:sz w:val="28"/>
                          <w:szCs w:val="28"/>
                        </w:rPr>
                        <w:t>Our Services include:</w:t>
                      </w:r>
                    </w:p>
                    <w:p w:rsidR="00045B9C"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Federal and State Tax Preparation</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Wage Garnishment Releases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Removal/Withdrawal of Federal Tax Liens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Installment Agreements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 xml:space="preserve">Settlement of Back Taxes </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Trust Fund Recovery Penalties</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Offer</w:t>
                      </w:r>
                      <w:r w:rsidR="00885DC1">
                        <w:rPr>
                          <w:color w:val="632423" w:themeColor="accent2" w:themeShade="80"/>
                          <w:sz w:val="18"/>
                          <w:szCs w:val="18"/>
                        </w:rPr>
                        <w:t>s</w:t>
                      </w:r>
                      <w:r w:rsidRPr="0079748A">
                        <w:rPr>
                          <w:color w:val="632423" w:themeColor="accent2" w:themeShade="80"/>
                          <w:sz w:val="18"/>
                          <w:szCs w:val="18"/>
                        </w:rPr>
                        <w:t xml:space="preserve"> in Compromise</w:t>
                      </w:r>
                    </w:p>
                    <w:p w:rsidR="00045B9C" w:rsidRP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IRS Appeals</w:t>
                      </w:r>
                    </w:p>
                    <w:p w:rsidR="0079748A" w:rsidRDefault="00045B9C" w:rsidP="00720D73">
                      <w:pPr>
                        <w:numPr>
                          <w:ilvl w:val="0"/>
                          <w:numId w:val="1"/>
                        </w:numPr>
                        <w:spacing w:line="360" w:lineRule="auto"/>
                        <w:rPr>
                          <w:color w:val="632423" w:themeColor="accent2" w:themeShade="80"/>
                          <w:sz w:val="18"/>
                          <w:szCs w:val="18"/>
                        </w:rPr>
                      </w:pPr>
                      <w:r w:rsidRPr="0079748A">
                        <w:rPr>
                          <w:color w:val="632423" w:themeColor="accent2" w:themeShade="80"/>
                          <w:sz w:val="18"/>
                          <w:szCs w:val="18"/>
                        </w:rPr>
                        <w:t xml:space="preserve">Revenue Officer Services </w:t>
                      </w:r>
                    </w:p>
                    <w:p w:rsidR="007F2AE1" w:rsidRPr="0079748A" w:rsidRDefault="007F2AE1" w:rsidP="00720D73">
                      <w:pPr>
                        <w:numPr>
                          <w:ilvl w:val="0"/>
                          <w:numId w:val="1"/>
                        </w:numPr>
                        <w:spacing w:line="360" w:lineRule="auto"/>
                        <w:rPr>
                          <w:color w:val="632423" w:themeColor="accent2" w:themeShade="80"/>
                          <w:sz w:val="18"/>
                          <w:szCs w:val="18"/>
                        </w:rPr>
                      </w:pPr>
                      <w:r>
                        <w:rPr>
                          <w:color w:val="632423" w:themeColor="accent2" w:themeShade="80"/>
                          <w:sz w:val="18"/>
                          <w:szCs w:val="18"/>
                        </w:rPr>
                        <w:t>Small Business Services:</w:t>
                      </w:r>
                      <w:r>
                        <w:rPr>
                          <w:color w:val="632423" w:themeColor="accent2" w:themeShade="80"/>
                          <w:sz w:val="18"/>
                          <w:szCs w:val="18"/>
                        </w:rPr>
                        <w:br/>
                        <w:t>Bookkeeping</w:t>
                      </w:r>
                      <w:r>
                        <w:rPr>
                          <w:color w:val="632423" w:themeColor="accent2" w:themeShade="80"/>
                          <w:sz w:val="18"/>
                          <w:szCs w:val="18"/>
                        </w:rPr>
                        <w:br/>
                        <w:t>Payroll Tax Returns</w:t>
                      </w:r>
                      <w:r>
                        <w:rPr>
                          <w:color w:val="632423" w:themeColor="accent2" w:themeShade="80"/>
                          <w:sz w:val="18"/>
                          <w:szCs w:val="18"/>
                        </w:rPr>
                        <w:br/>
                        <w:t>Sales Tax Returns</w:t>
                      </w:r>
                      <w:r>
                        <w:rPr>
                          <w:color w:val="632423" w:themeColor="accent2" w:themeShade="80"/>
                          <w:sz w:val="18"/>
                          <w:szCs w:val="18"/>
                        </w:rPr>
                        <w:br/>
                        <w:t>Forms W-2 &amp; 1099 preparation</w:t>
                      </w:r>
                    </w:p>
                    <w:p w:rsidR="00045B9C" w:rsidRPr="00D67CB4" w:rsidRDefault="00045B9C" w:rsidP="0011494F">
                      <w:pPr>
                        <w:jc w:val="center"/>
                        <w:rPr>
                          <w:b/>
                          <w:color w:val="632423" w:themeColor="accent2" w:themeShade="80"/>
                          <w:sz w:val="18"/>
                          <w:szCs w:val="18"/>
                        </w:rPr>
                      </w:pPr>
                    </w:p>
                  </w:txbxContent>
                </v:textbox>
                <w10:wrap type="square" anchorx="margin" anchory="margin"/>
              </v:rect>
            </w:pict>
          </mc:Fallback>
        </mc:AlternateContent>
      </w:r>
    </w:p>
    <w:p w:rsidR="003915E6" w:rsidRDefault="003915E6" w:rsidP="00D67CB4">
      <w:pPr>
        <w:spacing w:after="0"/>
        <w:rPr>
          <w:sz w:val="20"/>
          <w:szCs w:val="20"/>
        </w:rPr>
      </w:pPr>
      <w:r w:rsidRPr="00C908FA">
        <w:rPr>
          <w:color w:val="000000" w:themeColor="text1"/>
          <w:sz w:val="20"/>
          <w:szCs w:val="20"/>
        </w:rPr>
        <w:t xml:space="preserve"> </w:t>
      </w:r>
    </w:p>
    <w:p w:rsidR="0011494F" w:rsidRDefault="0011494F" w:rsidP="00C908FA">
      <w:pPr>
        <w:tabs>
          <w:tab w:val="left" w:pos="1260"/>
        </w:tabs>
        <w:rPr>
          <w:sz w:val="20"/>
          <w:szCs w:val="20"/>
        </w:rPr>
      </w:pPr>
      <w:bookmarkStart w:id="0" w:name="_GoBack"/>
      <w:bookmarkEnd w:id="0"/>
    </w:p>
    <w:p w:rsidR="0011494F" w:rsidRDefault="0011494F" w:rsidP="00C908FA">
      <w:pPr>
        <w:tabs>
          <w:tab w:val="left" w:pos="1260"/>
        </w:tabs>
        <w:rPr>
          <w:sz w:val="20"/>
          <w:szCs w:val="20"/>
        </w:rPr>
      </w:pPr>
    </w:p>
    <w:p w:rsidR="0011494F" w:rsidRDefault="0011494F" w:rsidP="00C908FA">
      <w:pPr>
        <w:tabs>
          <w:tab w:val="left" w:pos="1260"/>
        </w:tabs>
        <w:rPr>
          <w:sz w:val="20"/>
          <w:szCs w:val="20"/>
        </w:rPr>
      </w:pPr>
    </w:p>
    <w:p w:rsidR="0011494F" w:rsidRDefault="0011494F" w:rsidP="00C908FA">
      <w:pPr>
        <w:tabs>
          <w:tab w:val="left" w:pos="1260"/>
        </w:tabs>
        <w:rPr>
          <w:sz w:val="20"/>
          <w:szCs w:val="20"/>
        </w:rPr>
      </w:pPr>
    </w:p>
    <w:p w:rsidR="0011494F" w:rsidRDefault="0011494F" w:rsidP="00C908FA">
      <w:pPr>
        <w:tabs>
          <w:tab w:val="left" w:pos="1260"/>
        </w:tabs>
        <w:rPr>
          <w:sz w:val="20"/>
          <w:szCs w:val="20"/>
        </w:rPr>
      </w:pPr>
    </w:p>
    <w:p w:rsidR="0011494F" w:rsidRDefault="0011494F" w:rsidP="00C908FA">
      <w:pPr>
        <w:tabs>
          <w:tab w:val="left" w:pos="1260"/>
        </w:tabs>
        <w:rPr>
          <w:sz w:val="20"/>
          <w:szCs w:val="20"/>
        </w:rPr>
      </w:pPr>
    </w:p>
    <w:p w:rsidR="00D67CB4" w:rsidRDefault="00D67CB4" w:rsidP="00C908FA">
      <w:pPr>
        <w:tabs>
          <w:tab w:val="left" w:pos="1260"/>
        </w:tabs>
        <w:rPr>
          <w:sz w:val="20"/>
          <w:szCs w:val="20"/>
        </w:rPr>
      </w:pPr>
    </w:p>
    <w:p w:rsidR="00D67CB4" w:rsidRDefault="00D67CB4" w:rsidP="00C908FA">
      <w:pPr>
        <w:tabs>
          <w:tab w:val="left" w:pos="1260"/>
        </w:tabs>
        <w:rPr>
          <w:sz w:val="20"/>
          <w:szCs w:val="20"/>
        </w:rPr>
      </w:pPr>
    </w:p>
    <w:p w:rsidR="00D67CB4" w:rsidRDefault="00D67CB4" w:rsidP="00C908FA">
      <w:pPr>
        <w:tabs>
          <w:tab w:val="left" w:pos="1260"/>
        </w:tabs>
        <w:rPr>
          <w:sz w:val="20"/>
          <w:szCs w:val="20"/>
        </w:rPr>
      </w:pPr>
    </w:p>
    <w:p w:rsidR="00D67CB4" w:rsidRDefault="00D67CB4" w:rsidP="00C908FA">
      <w:pPr>
        <w:tabs>
          <w:tab w:val="left" w:pos="1260"/>
        </w:tabs>
        <w:rPr>
          <w:sz w:val="20"/>
          <w:szCs w:val="20"/>
        </w:rPr>
      </w:pPr>
    </w:p>
    <w:p w:rsidR="008E6268" w:rsidRDefault="008E6268" w:rsidP="00C908FA">
      <w:pPr>
        <w:tabs>
          <w:tab w:val="left" w:pos="1260"/>
        </w:tabs>
        <w:rPr>
          <w:sz w:val="20"/>
          <w:szCs w:val="20"/>
        </w:rPr>
      </w:pPr>
    </w:p>
    <w:p w:rsidR="00F10331" w:rsidRDefault="00F10331" w:rsidP="00E85133">
      <w:pPr>
        <w:tabs>
          <w:tab w:val="left" w:pos="1260"/>
        </w:tabs>
        <w:jc w:val="center"/>
        <w:rPr>
          <w:sz w:val="20"/>
          <w:szCs w:val="20"/>
        </w:rPr>
      </w:pPr>
    </w:p>
    <w:p w:rsidR="003535DE" w:rsidRDefault="003535DE" w:rsidP="00E85133">
      <w:pPr>
        <w:tabs>
          <w:tab w:val="left" w:pos="1260"/>
        </w:tabs>
        <w:jc w:val="center"/>
        <w:rPr>
          <w:sz w:val="20"/>
          <w:szCs w:val="20"/>
        </w:rPr>
      </w:pPr>
    </w:p>
    <w:p w:rsidR="003535DE" w:rsidRDefault="003535DE" w:rsidP="00E85133">
      <w:pPr>
        <w:tabs>
          <w:tab w:val="left" w:pos="1260"/>
        </w:tabs>
        <w:jc w:val="center"/>
        <w:rPr>
          <w:sz w:val="20"/>
          <w:szCs w:val="20"/>
        </w:rPr>
      </w:pPr>
    </w:p>
    <w:p w:rsidR="003535DE" w:rsidRDefault="003535DE" w:rsidP="003535DE">
      <w:pPr>
        <w:tabs>
          <w:tab w:val="left" w:pos="1260"/>
        </w:tabs>
        <w:ind w:firstLine="720"/>
        <w:jc w:val="center"/>
        <w:rPr>
          <w:rFonts w:ascii="Arial" w:hAnsi="Arial" w:cs="Arial"/>
          <w:b/>
          <w:color w:val="632423" w:themeColor="accent2" w:themeShade="80"/>
          <w:sz w:val="40"/>
          <w:szCs w:val="40"/>
        </w:rPr>
      </w:pPr>
      <w:r>
        <w:rPr>
          <w:rFonts w:ascii="Arial" w:hAnsi="Arial" w:cs="Arial"/>
          <w:b/>
          <w:color w:val="632423" w:themeColor="accent2" w:themeShade="80"/>
          <w:sz w:val="40"/>
          <w:szCs w:val="40"/>
        </w:rPr>
        <w:tab/>
      </w:r>
      <w:r>
        <w:rPr>
          <w:rFonts w:ascii="Arial" w:hAnsi="Arial" w:cs="Arial"/>
          <w:b/>
          <w:color w:val="632423" w:themeColor="accent2" w:themeShade="80"/>
          <w:sz w:val="40"/>
          <w:szCs w:val="40"/>
        </w:rPr>
        <w:tab/>
      </w:r>
    </w:p>
    <w:p w:rsidR="007F2AE1" w:rsidRDefault="007F2AE1" w:rsidP="003535DE">
      <w:pPr>
        <w:tabs>
          <w:tab w:val="left" w:pos="1260"/>
        </w:tabs>
        <w:ind w:firstLine="720"/>
        <w:jc w:val="center"/>
        <w:rPr>
          <w:rFonts w:ascii="Arial" w:hAnsi="Arial" w:cs="Arial"/>
          <w:b/>
          <w:color w:val="632423" w:themeColor="accent2" w:themeShade="80"/>
          <w:sz w:val="40"/>
          <w:szCs w:val="40"/>
        </w:rPr>
      </w:pPr>
    </w:p>
    <w:p w:rsidR="0079748A" w:rsidRDefault="0011494F" w:rsidP="003535DE">
      <w:pPr>
        <w:tabs>
          <w:tab w:val="left" w:pos="1260"/>
        </w:tabs>
        <w:ind w:firstLine="720"/>
        <w:jc w:val="center"/>
        <w:rPr>
          <w:rFonts w:ascii="Arial" w:hAnsi="Arial" w:cs="Arial"/>
          <w:b/>
          <w:color w:val="632423" w:themeColor="accent2" w:themeShade="80"/>
          <w:sz w:val="40"/>
          <w:szCs w:val="40"/>
        </w:rPr>
      </w:pPr>
      <w:r w:rsidRPr="0011494F">
        <w:rPr>
          <w:rFonts w:ascii="Arial" w:hAnsi="Arial" w:cs="Arial"/>
          <w:b/>
          <w:color w:val="632423" w:themeColor="accent2" w:themeShade="80"/>
          <w:sz w:val="40"/>
          <w:szCs w:val="40"/>
        </w:rPr>
        <w:t>Call us</w:t>
      </w:r>
      <w:r w:rsidR="003535DE">
        <w:rPr>
          <w:rFonts w:ascii="Arial" w:hAnsi="Arial" w:cs="Arial"/>
          <w:b/>
          <w:color w:val="632423" w:themeColor="accent2" w:themeShade="80"/>
          <w:sz w:val="40"/>
          <w:szCs w:val="40"/>
        </w:rPr>
        <w:t xml:space="preserve"> </w:t>
      </w:r>
      <w:r w:rsidR="00400F70">
        <w:rPr>
          <w:rFonts w:ascii="Arial" w:hAnsi="Arial" w:cs="Arial"/>
          <w:b/>
          <w:color w:val="632423" w:themeColor="accent2" w:themeShade="80"/>
          <w:sz w:val="40"/>
          <w:szCs w:val="40"/>
        </w:rPr>
        <w:t>888-764-2805</w:t>
      </w:r>
      <w:r w:rsidR="003A1931">
        <w:rPr>
          <w:rFonts w:ascii="Arial" w:hAnsi="Arial" w:cs="Arial"/>
          <w:b/>
          <w:color w:val="632423" w:themeColor="accent2" w:themeShade="80"/>
          <w:sz w:val="40"/>
          <w:szCs w:val="40"/>
        </w:rPr>
        <w:t>!</w:t>
      </w:r>
    </w:p>
    <w:sectPr w:rsidR="0079748A" w:rsidSect="007F2AE1">
      <w:headerReference w:type="default" r:id="rId10"/>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4A" w:rsidRDefault="00B7444A" w:rsidP="00C16CF9">
      <w:pPr>
        <w:spacing w:after="0" w:line="240" w:lineRule="auto"/>
      </w:pPr>
      <w:r>
        <w:separator/>
      </w:r>
    </w:p>
  </w:endnote>
  <w:endnote w:type="continuationSeparator" w:id="0">
    <w:p w:rsidR="00B7444A" w:rsidRDefault="00B7444A" w:rsidP="00C1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F9" w:rsidRPr="00C16CF9" w:rsidRDefault="00B7444A" w:rsidP="00C16CF9">
    <w:pPr>
      <w:pStyle w:val="Footer"/>
      <w:jc w:val="center"/>
      <w:rPr>
        <w:color w:val="632423" w:themeColor="accent2" w:themeShade="80"/>
        <w:sz w:val="28"/>
        <w:szCs w:val="28"/>
      </w:rPr>
    </w:pPr>
    <w:hyperlink r:id="rId1" w:history="1">
      <w:r w:rsidR="00C16CF9" w:rsidRPr="00C16CF9">
        <w:rPr>
          <w:rStyle w:val="Hyperlink"/>
          <w:color w:val="632423" w:themeColor="accent2" w:themeShade="80"/>
          <w:sz w:val="28"/>
          <w:szCs w:val="28"/>
        </w:rPr>
        <w:t>www.TaxBrainiaX.com</w:t>
      </w:r>
    </w:hyperlink>
  </w:p>
  <w:p w:rsidR="00C16CF9" w:rsidRDefault="003535DE" w:rsidP="003535DE">
    <w:pPr>
      <w:pStyle w:val="Footer"/>
      <w:jc w:val="center"/>
    </w:pPr>
    <w:r>
      <w:rPr>
        <w:noProof/>
        <w:sz w:val="20"/>
        <w:szCs w:val="20"/>
      </w:rPr>
      <w:drawing>
        <wp:inline distT="0" distB="0" distL="0" distR="0" wp14:anchorId="41D0CF5C" wp14:editId="02AFD07F">
          <wp:extent cx="5334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745" cy="46702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4A" w:rsidRDefault="00B7444A" w:rsidP="00C16CF9">
      <w:pPr>
        <w:spacing w:after="0" w:line="240" w:lineRule="auto"/>
      </w:pPr>
      <w:r>
        <w:separator/>
      </w:r>
    </w:p>
  </w:footnote>
  <w:footnote w:type="continuationSeparator" w:id="0">
    <w:p w:rsidR="00B7444A" w:rsidRDefault="00B7444A" w:rsidP="00C16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F9" w:rsidRDefault="00C16CF9" w:rsidP="00C16CF9">
    <w:pPr>
      <w:pStyle w:val="Header"/>
      <w:tabs>
        <w:tab w:val="clear" w:pos="4680"/>
        <w:tab w:val="clear" w:pos="9360"/>
        <w:tab w:val="left" w:pos="62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5BA7"/>
    <w:multiLevelType w:val="hybridMultilevel"/>
    <w:tmpl w:val="C47A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63"/>
    <w:rsid w:val="00005AA2"/>
    <w:rsid w:val="0001410C"/>
    <w:rsid w:val="00045B9C"/>
    <w:rsid w:val="000C4601"/>
    <w:rsid w:val="000D41B7"/>
    <w:rsid w:val="0011494F"/>
    <w:rsid w:val="00146ECF"/>
    <w:rsid w:val="00156B82"/>
    <w:rsid w:val="001E6A7C"/>
    <w:rsid w:val="00242FFB"/>
    <w:rsid w:val="002F5228"/>
    <w:rsid w:val="00307C1F"/>
    <w:rsid w:val="003535DE"/>
    <w:rsid w:val="00375A38"/>
    <w:rsid w:val="003915E6"/>
    <w:rsid w:val="003A1931"/>
    <w:rsid w:val="00400F70"/>
    <w:rsid w:val="00473ED6"/>
    <w:rsid w:val="004D1112"/>
    <w:rsid w:val="00533C6F"/>
    <w:rsid w:val="00596C8F"/>
    <w:rsid w:val="005A4AFE"/>
    <w:rsid w:val="00626B9C"/>
    <w:rsid w:val="00684BF9"/>
    <w:rsid w:val="006F635D"/>
    <w:rsid w:val="00720D73"/>
    <w:rsid w:val="0079748A"/>
    <w:rsid w:val="007A3F41"/>
    <w:rsid w:val="007E6A63"/>
    <w:rsid w:val="007F2AE1"/>
    <w:rsid w:val="007F2B7E"/>
    <w:rsid w:val="00817F63"/>
    <w:rsid w:val="00872E81"/>
    <w:rsid w:val="00885C0E"/>
    <w:rsid w:val="00885DC1"/>
    <w:rsid w:val="008B3624"/>
    <w:rsid w:val="008E6268"/>
    <w:rsid w:val="009027D5"/>
    <w:rsid w:val="00A6623F"/>
    <w:rsid w:val="00A76944"/>
    <w:rsid w:val="00AF5C31"/>
    <w:rsid w:val="00B21610"/>
    <w:rsid w:val="00B241AC"/>
    <w:rsid w:val="00B30FBD"/>
    <w:rsid w:val="00B63F58"/>
    <w:rsid w:val="00B66C68"/>
    <w:rsid w:val="00B7444A"/>
    <w:rsid w:val="00BA1F31"/>
    <w:rsid w:val="00C16CF9"/>
    <w:rsid w:val="00C908FA"/>
    <w:rsid w:val="00C90D2D"/>
    <w:rsid w:val="00D16402"/>
    <w:rsid w:val="00D16F7E"/>
    <w:rsid w:val="00D67CB4"/>
    <w:rsid w:val="00D7208A"/>
    <w:rsid w:val="00D74EA3"/>
    <w:rsid w:val="00D8744A"/>
    <w:rsid w:val="00D96793"/>
    <w:rsid w:val="00DD08C6"/>
    <w:rsid w:val="00DD4AC9"/>
    <w:rsid w:val="00DD6C07"/>
    <w:rsid w:val="00E06403"/>
    <w:rsid w:val="00E13327"/>
    <w:rsid w:val="00E624F4"/>
    <w:rsid w:val="00E85133"/>
    <w:rsid w:val="00EB281B"/>
    <w:rsid w:val="00EB7797"/>
    <w:rsid w:val="00EC6B35"/>
    <w:rsid w:val="00F10331"/>
    <w:rsid w:val="00F1112A"/>
    <w:rsid w:val="00FA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C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63"/>
    <w:rPr>
      <w:rFonts w:ascii="Tahoma" w:hAnsi="Tahoma" w:cs="Tahoma"/>
      <w:sz w:val="16"/>
      <w:szCs w:val="16"/>
    </w:rPr>
  </w:style>
  <w:style w:type="table" w:styleId="TableGrid">
    <w:name w:val="Table Grid"/>
    <w:basedOn w:val="TableNormal"/>
    <w:uiPriority w:val="59"/>
    <w:rsid w:val="004D1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5C0E"/>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11494F"/>
    <w:rPr>
      <w:color w:val="0000FF" w:themeColor="hyperlink"/>
      <w:u w:val="single"/>
    </w:rPr>
  </w:style>
  <w:style w:type="paragraph" w:styleId="Header">
    <w:name w:val="header"/>
    <w:basedOn w:val="Normal"/>
    <w:link w:val="HeaderChar"/>
    <w:uiPriority w:val="99"/>
    <w:unhideWhenUsed/>
    <w:rsid w:val="00C1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F9"/>
  </w:style>
  <w:style w:type="paragraph" w:styleId="Footer">
    <w:name w:val="footer"/>
    <w:basedOn w:val="Normal"/>
    <w:link w:val="FooterChar"/>
    <w:uiPriority w:val="99"/>
    <w:unhideWhenUsed/>
    <w:rsid w:val="00C1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C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F63"/>
    <w:rPr>
      <w:rFonts w:ascii="Tahoma" w:hAnsi="Tahoma" w:cs="Tahoma"/>
      <w:sz w:val="16"/>
      <w:szCs w:val="16"/>
    </w:rPr>
  </w:style>
  <w:style w:type="table" w:styleId="TableGrid">
    <w:name w:val="Table Grid"/>
    <w:basedOn w:val="TableNormal"/>
    <w:uiPriority w:val="59"/>
    <w:rsid w:val="004D1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5C0E"/>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11494F"/>
    <w:rPr>
      <w:color w:val="0000FF" w:themeColor="hyperlink"/>
      <w:u w:val="single"/>
    </w:rPr>
  </w:style>
  <w:style w:type="paragraph" w:styleId="Header">
    <w:name w:val="header"/>
    <w:basedOn w:val="Normal"/>
    <w:link w:val="HeaderChar"/>
    <w:uiPriority w:val="99"/>
    <w:unhideWhenUsed/>
    <w:rsid w:val="00C1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CF9"/>
  </w:style>
  <w:style w:type="paragraph" w:styleId="Footer">
    <w:name w:val="footer"/>
    <w:basedOn w:val="Normal"/>
    <w:link w:val="FooterChar"/>
    <w:uiPriority w:val="99"/>
    <w:unhideWhenUsed/>
    <w:rsid w:val="00C1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axBraini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0220-1722-4F1C-B771-10C675CE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dgadberry</cp:lastModifiedBy>
  <cp:revision>3</cp:revision>
  <cp:lastPrinted>2012-10-09T21:18:00Z</cp:lastPrinted>
  <dcterms:created xsi:type="dcterms:W3CDTF">2012-12-27T16:33:00Z</dcterms:created>
  <dcterms:modified xsi:type="dcterms:W3CDTF">2012-12-27T16:55:00Z</dcterms:modified>
</cp:coreProperties>
</file>