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EB9E" w14:textId="77777777" w:rsidR="00854716" w:rsidRDefault="00854716" w:rsidP="00854716">
      <w:pPr>
        <w:tabs>
          <w:tab w:val="num" w:pos="720"/>
        </w:tabs>
        <w:ind w:left="720" w:hanging="360"/>
        <w:rPr>
          <w:b/>
          <w:bCs/>
          <w:u w:val="single"/>
        </w:rPr>
      </w:pPr>
    </w:p>
    <w:p w14:paraId="1C60396D" w14:textId="77777777" w:rsidR="0032226E" w:rsidRDefault="0032226E" w:rsidP="004C5904">
      <w:pPr>
        <w:tabs>
          <w:tab w:val="num" w:pos="720"/>
        </w:tabs>
        <w:ind w:left="720" w:hanging="360"/>
        <w:jc w:val="both"/>
        <w:rPr>
          <w:b/>
          <w:bCs/>
          <w:u w:val="single"/>
        </w:rPr>
      </w:pPr>
    </w:p>
    <w:p w14:paraId="21CC0368" w14:textId="4E36F2D2" w:rsidR="0032226E" w:rsidRPr="00A824F0" w:rsidRDefault="0032226E" w:rsidP="00A824F0">
      <w:pPr>
        <w:jc w:val="center"/>
        <w:rPr>
          <w:b/>
          <w:bCs/>
          <w:sz w:val="24"/>
          <w:szCs w:val="24"/>
        </w:rPr>
      </w:pPr>
      <w:r w:rsidRPr="00A824F0">
        <w:rPr>
          <w:b/>
          <w:bCs/>
          <w:sz w:val="24"/>
          <w:szCs w:val="24"/>
        </w:rPr>
        <w:t>Benefits of Federal Tax Credits</w:t>
      </w:r>
      <w:r w:rsidR="005F4E2B">
        <w:rPr>
          <w:b/>
          <w:bCs/>
          <w:sz w:val="24"/>
          <w:szCs w:val="24"/>
        </w:rPr>
        <w:t xml:space="preserve"> </w:t>
      </w:r>
      <w:r w:rsidR="005F4E2B" w:rsidRPr="00A824F0">
        <w:rPr>
          <w:b/>
          <w:bCs/>
          <w:sz w:val="24"/>
          <w:szCs w:val="24"/>
        </w:rPr>
        <w:t xml:space="preserve">for </w:t>
      </w:r>
      <w:r w:rsidR="00914473">
        <w:rPr>
          <w:b/>
          <w:bCs/>
          <w:sz w:val="24"/>
          <w:szCs w:val="24"/>
        </w:rPr>
        <w:t>Insurance Companies</w:t>
      </w:r>
    </w:p>
    <w:p w14:paraId="6E728830" w14:textId="77777777" w:rsidR="00602D8A" w:rsidRDefault="00602D8A" w:rsidP="00C67CD0">
      <w:pPr>
        <w:jc w:val="both"/>
      </w:pPr>
    </w:p>
    <w:p w14:paraId="1ED909D6" w14:textId="51CD5691" w:rsidR="00C67CD0" w:rsidRPr="00C67CD0" w:rsidRDefault="00C67CD0" w:rsidP="00C67CD0">
      <w:pPr>
        <w:jc w:val="both"/>
        <w:rPr>
          <w:rFonts w:cstheme="minorHAnsi"/>
        </w:rPr>
      </w:pPr>
      <w:r w:rsidRPr="00C67CD0">
        <w:rPr>
          <w:rFonts w:cstheme="minorHAnsi"/>
        </w:rPr>
        <w:t xml:space="preserve">Navigating the intricacies of </w:t>
      </w:r>
      <w:r w:rsidR="00D74D3C">
        <w:rPr>
          <w:rFonts w:cstheme="minorHAnsi"/>
        </w:rPr>
        <w:t xml:space="preserve">federal </w:t>
      </w:r>
      <w:r w:rsidRPr="00C67CD0">
        <w:rPr>
          <w:rFonts w:cstheme="minorHAnsi"/>
        </w:rPr>
        <w:t xml:space="preserve">tax credits can be daunting due to the sheer volume of information available. This </w:t>
      </w:r>
      <w:r w:rsidR="00CB3904">
        <w:rPr>
          <w:rFonts w:cstheme="minorHAnsi"/>
        </w:rPr>
        <w:t>blog post</w:t>
      </w:r>
      <w:r w:rsidRPr="00C67CD0">
        <w:rPr>
          <w:rFonts w:cstheme="minorHAnsi"/>
        </w:rPr>
        <w:t xml:space="preserve"> aims to </w:t>
      </w:r>
      <w:r w:rsidR="006352AA">
        <w:rPr>
          <w:rFonts w:cstheme="minorHAnsi"/>
        </w:rPr>
        <w:t>discuss</w:t>
      </w:r>
      <w:r w:rsidRPr="00C67CD0">
        <w:rPr>
          <w:rFonts w:cstheme="minorHAnsi"/>
        </w:rPr>
        <w:t xml:space="preserve"> the advantages and potential revenue streams tied to federal tax credits.</w:t>
      </w:r>
    </w:p>
    <w:p w14:paraId="075B1A08" w14:textId="1B17F4DA" w:rsidR="00C67CD0" w:rsidRPr="00C67CD0" w:rsidRDefault="00C67CD0" w:rsidP="00C67CD0">
      <w:pPr>
        <w:jc w:val="both"/>
        <w:rPr>
          <w:rFonts w:cstheme="minorHAnsi"/>
        </w:rPr>
      </w:pPr>
      <w:r w:rsidRPr="00C67CD0">
        <w:rPr>
          <w:rFonts w:cstheme="minorHAnsi"/>
        </w:rPr>
        <w:t xml:space="preserve">Our objective is to boost your </w:t>
      </w:r>
      <w:r w:rsidR="006C1F6D">
        <w:rPr>
          <w:rFonts w:cstheme="minorHAnsi"/>
        </w:rPr>
        <w:t>cash flow</w:t>
      </w:r>
      <w:r w:rsidR="009F5E90">
        <w:rPr>
          <w:rFonts w:cstheme="minorHAnsi"/>
        </w:rPr>
        <w:t>, lower your effective tax rate</w:t>
      </w:r>
      <w:r w:rsidRPr="00C67CD0">
        <w:rPr>
          <w:rFonts w:cstheme="minorHAnsi"/>
        </w:rPr>
        <w:t xml:space="preserve">, empower your team to cultivate new relationships, explore untapped investment avenues in the realm of tax credits that conventional methods might overlook, and guide you on reducing your tax liability by </w:t>
      </w:r>
      <w:r w:rsidR="00492D59">
        <w:rPr>
          <w:rFonts w:cstheme="minorHAnsi"/>
        </w:rPr>
        <w:t xml:space="preserve">up to </w:t>
      </w:r>
      <w:r w:rsidRPr="00C67CD0">
        <w:rPr>
          <w:rFonts w:cstheme="minorHAnsi"/>
        </w:rPr>
        <w:t>15%</w:t>
      </w:r>
      <w:r w:rsidR="00176531">
        <w:rPr>
          <w:rFonts w:cstheme="minorHAnsi"/>
        </w:rPr>
        <w:t xml:space="preserve"> </w:t>
      </w:r>
      <w:r w:rsidR="0080259D">
        <w:rPr>
          <w:rFonts w:cstheme="minorHAnsi"/>
        </w:rPr>
        <w:t xml:space="preserve">and </w:t>
      </w:r>
      <w:r w:rsidR="00176531">
        <w:rPr>
          <w:rFonts w:cstheme="minorHAnsi"/>
        </w:rPr>
        <w:t xml:space="preserve">in some </w:t>
      </w:r>
      <w:r w:rsidR="00C553CC">
        <w:rPr>
          <w:rFonts w:cstheme="minorHAnsi"/>
        </w:rPr>
        <w:t>cases</w:t>
      </w:r>
      <w:r w:rsidR="00176531">
        <w:rPr>
          <w:rFonts w:cstheme="minorHAnsi"/>
        </w:rPr>
        <w:t xml:space="preserve"> more</w:t>
      </w:r>
      <w:r w:rsidR="00B96C93">
        <w:rPr>
          <w:rFonts w:cstheme="minorHAnsi"/>
        </w:rPr>
        <w:t>,</w:t>
      </w:r>
      <w:r w:rsidR="00176531">
        <w:rPr>
          <w:rFonts w:cstheme="minorHAnsi"/>
        </w:rPr>
        <w:t xml:space="preserve"> depending on y</w:t>
      </w:r>
      <w:r w:rsidR="00321E3B">
        <w:rPr>
          <w:rFonts w:cstheme="minorHAnsi"/>
        </w:rPr>
        <w:t>our effective tax rate</w:t>
      </w:r>
      <w:r w:rsidRPr="00C67CD0">
        <w:rPr>
          <w:rFonts w:cstheme="minorHAnsi"/>
        </w:rPr>
        <w:t>.</w:t>
      </w:r>
    </w:p>
    <w:p w14:paraId="16EAEE80" w14:textId="05D75917" w:rsidR="00A61C53" w:rsidRDefault="00854716" w:rsidP="00A61C53">
      <w:pPr>
        <w:tabs>
          <w:tab w:val="num" w:pos="720"/>
        </w:tabs>
        <w:spacing w:after="0"/>
        <w:jc w:val="both"/>
        <w:rPr>
          <w:rFonts w:cstheme="minorHAnsi"/>
          <w:b/>
          <w:bCs/>
          <w:u w:val="single"/>
        </w:rPr>
      </w:pPr>
      <w:r w:rsidRPr="00602D8A">
        <w:rPr>
          <w:rFonts w:cstheme="minorHAnsi"/>
          <w:b/>
          <w:bCs/>
          <w:u w:val="single"/>
        </w:rPr>
        <w:t>Benefits of Investing in Tax Credits:</w:t>
      </w:r>
    </w:p>
    <w:p w14:paraId="4B6BA641" w14:textId="77777777" w:rsidR="00A61C53" w:rsidRPr="00602D8A" w:rsidRDefault="00A61C53" w:rsidP="00A61C53">
      <w:pPr>
        <w:tabs>
          <w:tab w:val="num" w:pos="720"/>
        </w:tabs>
        <w:spacing w:after="0"/>
        <w:jc w:val="both"/>
        <w:rPr>
          <w:rFonts w:cstheme="minorHAnsi"/>
          <w:b/>
          <w:bCs/>
          <w:u w:val="single"/>
        </w:rPr>
      </w:pPr>
    </w:p>
    <w:p w14:paraId="479406AD" w14:textId="306CAE53" w:rsidR="009E5EFF" w:rsidRPr="00D543A1" w:rsidRDefault="009E5EFF" w:rsidP="00D543A1">
      <w:pPr>
        <w:pStyle w:val="ListParagraph"/>
        <w:numPr>
          <w:ilvl w:val="0"/>
          <w:numId w:val="4"/>
        </w:numPr>
        <w:spacing w:after="0"/>
        <w:jc w:val="both"/>
        <w:rPr>
          <w:rFonts w:cstheme="minorHAnsi"/>
        </w:rPr>
      </w:pPr>
      <w:r w:rsidRPr="00D543A1">
        <w:rPr>
          <w:rFonts w:cstheme="minorHAnsi"/>
          <w:b/>
          <w:bCs/>
        </w:rPr>
        <w:t>Tax Liability Reduction</w:t>
      </w:r>
      <w:r w:rsidR="00C97220" w:rsidRPr="00D543A1">
        <w:rPr>
          <w:rFonts w:cstheme="minorHAnsi"/>
          <w:b/>
          <w:bCs/>
        </w:rPr>
        <w:t xml:space="preserve"> | </w:t>
      </w:r>
      <w:r w:rsidRPr="00D543A1">
        <w:rPr>
          <w:rFonts w:cstheme="minorHAnsi"/>
          <w:b/>
          <w:bCs/>
        </w:rPr>
        <w:t>Offsetting Tax Liabilities:</w:t>
      </w:r>
      <w:r w:rsidRPr="00D543A1">
        <w:rPr>
          <w:rFonts w:cstheme="minorHAnsi"/>
        </w:rPr>
        <w:t xml:space="preserve"> Tax credits directly reduce the amount of tax owed. If an insurance company has a significant tax liability, purchasing tax credits can help reduce this </w:t>
      </w:r>
      <w:proofErr w:type="gramStart"/>
      <w:r w:rsidRPr="00D543A1">
        <w:rPr>
          <w:rFonts w:cstheme="minorHAnsi"/>
        </w:rPr>
        <w:t>liability</w:t>
      </w:r>
      <w:proofErr w:type="gramEnd"/>
      <w:r w:rsidR="006878EA">
        <w:rPr>
          <w:rFonts w:cstheme="minorHAnsi"/>
        </w:rPr>
        <w:t xml:space="preserve"> up to 15%</w:t>
      </w:r>
      <w:r w:rsidRPr="00D543A1">
        <w:rPr>
          <w:rFonts w:cstheme="minorHAnsi"/>
        </w:rPr>
        <w:t>.</w:t>
      </w:r>
    </w:p>
    <w:p w14:paraId="62B3CA95" w14:textId="25E1F25B" w:rsidR="00D543A1" w:rsidRDefault="009E5EFF" w:rsidP="00D543A1">
      <w:pPr>
        <w:pStyle w:val="ListParagraph"/>
        <w:numPr>
          <w:ilvl w:val="0"/>
          <w:numId w:val="4"/>
        </w:numPr>
        <w:spacing w:after="0"/>
        <w:jc w:val="both"/>
        <w:rPr>
          <w:rFonts w:cstheme="minorHAnsi"/>
        </w:rPr>
      </w:pPr>
      <w:r w:rsidRPr="00D543A1">
        <w:rPr>
          <w:rFonts w:cstheme="minorHAnsi"/>
          <w:b/>
          <w:bCs/>
        </w:rPr>
        <w:t>Investing in Specific Industries:</w:t>
      </w:r>
      <w:r w:rsidRPr="00D543A1">
        <w:rPr>
          <w:rFonts w:cstheme="minorHAnsi"/>
        </w:rPr>
        <w:t xml:space="preserve"> Some tax credits are designed to encourage investments in specific industries such as renewable energy, affordable housing, or historic preservation. Insurance companies may buy these credits </w:t>
      </w:r>
      <w:r w:rsidR="00C97220" w:rsidRPr="00D543A1">
        <w:rPr>
          <w:rFonts w:cstheme="minorHAnsi"/>
        </w:rPr>
        <w:t>to</w:t>
      </w:r>
      <w:r w:rsidRPr="00D543A1">
        <w:rPr>
          <w:rFonts w:cstheme="minorHAnsi"/>
        </w:rPr>
        <w:t xml:space="preserve"> invest indirectly in these sectors.</w:t>
      </w:r>
    </w:p>
    <w:p w14:paraId="758320C8" w14:textId="379B4608" w:rsidR="00D543A1" w:rsidRDefault="009E5EFF" w:rsidP="00D543A1">
      <w:pPr>
        <w:pStyle w:val="ListParagraph"/>
        <w:numPr>
          <w:ilvl w:val="0"/>
          <w:numId w:val="4"/>
        </w:numPr>
        <w:spacing w:after="0"/>
        <w:jc w:val="both"/>
        <w:rPr>
          <w:rFonts w:cstheme="minorHAnsi"/>
        </w:rPr>
      </w:pPr>
      <w:r w:rsidRPr="00D543A1">
        <w:rPr>
          <w:rFonts w:cstheme="minorHAnsi"/>
          <w:b/>
          <w:bCs/>
        </w:rPr>
        <w:t>Diversification:</w:t>
      </w:r>
      <w:r w:rsidRPr="00D543A1">
        <w:rPr>
          <w:rFonts w:cstheme="minorHAnsi"/>
        </w:rPr>
        <w:t xml:space="preserve"> Buying tax credits can be a way for insurance companies to diversify their investments and earn a return on </w:t>
      </w:r>
      <w:r w:rsidR="000B7F76">
        <w:rPr>
          <w:rFonts w:cstheme="minorHAnsi"/>
        </w:rPr>
        <w:t>their tax liability</w:t>
      </w:r>
      <w:r w:rsidRPr="00D543A1">
        <w:rPr>
          <w:rFonts w:cstheme="minorHAnsi"/>
        </w:rPr>
        <w:t>.</w:t>
      </w:r>
    </w:p>
    <w:p w14:paraId="74F3AB86" w14:textId="77777777" w:rsidR="00D543A1" w:rsidRDefault="009E5EFF" w:rsidP="00D543A1">
      <w:pPr>
        <w:pStyle w:val="ListParagraph"/>
        <w:numPr>
          <w:ilvl w:val="0"/>
          <w:numId w:val="4"/>
        </w:numPr>
        <w:spacing w:after="0"/>
        <w:jc w:val="both"/>
        <w:rPr>
          <w:rFonts w:cstheme="minorHAnsi"/>
        </w:rPr>
      </w:pPr>
      <w:r w:rsidRPr="00D543A1">
        <w:rPr>
          <w:rFonts w:cstheme="minorHAnsi"/>
          <w:b/>
          <w:bCs/>
        </w:rPr>
        <w:t>Corporate Social Responsibility</w:t>
      </w:r>
      <w:r w:rsidR="00390E8C" w:rsidRPr="00D543A1">
        <w:rPr>
          <w:rFonts w:cstheme="minorHAnsi"/>
          <w:b/>
          <w:bCs/>
        </w:rPr>
        <w:t xml:space="preserve"> | </w:t>
      </w:r>
      <w:r w:rsidRPr="00D543A1">
        <w:rPr>
          <w:rFonts w:cstheme="minorHAnsi"/>
          <w:b/>
          <w:bCs/>
        </w:rPr>
        <w:t xml:space="preserve">Promoting Sustainable Practices: </w:t>
      </w:r>
      <w:r w:rsidRPr="00D543A1">
        <w:rPr>
          <w:rFonts w:cstheme="minorHAnsi"/>
        </w:rPr>
        <w:t>By investing in tax credits related to renewable energy or environmental initiatives, insurance companies can demonstrate their commitment to sustainable and responsible business practices.</w:t>
      </w:r>
    </w:p>
    <w:p w14:paraId="6A319E79" w14:textId="6A8B302E" w:rsidR="001E5227" w:rsidRDefault="009E5EFF" w:rsidP="001E5227">
      <w:pPr>
        <w:pStyle w:val="ListParagraph"/>
        <w:numPr>
          <w:ilvl w:val="0"/>
          <w:numId w:val="4"/>
        </w:numPr>
        <w:spacing w:after="0"/>
        <w:jc w:val="both"/>
        <w:rPr>
          <w:rFonts w:cstheme="minorHAnsi"/>
        </w:rPr>
      </w:pPr>
      <w:r w:rsidRPr="00D543A1">
        <w:rPr>
          <w:rFonts w:cstheme="minorHAnsi"/>
          <w:b/>
          <w:bCs/>
        </w:rPr>
        <w:t>Community Development:</w:t>
      </w:r>
      <w:r w:rsidRPr="00D543A1">
        <w:rPr>
          <w:rFonts w:cstheme="minorHAnsi"/>
        </w:rPr>
        <w:t xml:space="preserve"> Tax credits for </w:t>
      </w:r>
      <w:r w:rsidR="00E366B2">
        <w:rPr>
          <w:rFonts w:cstheme="minorHAnsi"/>
        </w:rPr>
        <w:t xml:space="preserve">renewable energy, </w:t>
      </w:r>
      <w:r w:rsidRPr="00D543A1">
        <w:rPr>
          <w:rFonts w:cstheme="minorHAnsi"/>
        </w:rPr>
        <w:t>affordable housing or community development can help insurance companies contribute to social welfare and improve their public image.</w:t>
      </w:r>
    </w:p>
    <w:p w14:paraId="7678AFC2" w14:textId="77777777" w:rsidR="001E5227" w:rsidRDefault="009E5EFF" w:rsidP="001E5227">
      <w:pPr>
        <w:pStyle w:val="ListParagraph"/>
        <w:numPr>
          <w:ilvl w:val="0"/>
          <w:numId w:val="4"/>
        </w:numPr>
        <w:spacing w:after="0"/>
        <w:jc w:val="both"/>
        <w:rPr>
          <w:rFonts w:cstheme="minorHAnsi"/>
        </w:rPr>
      </w:pPr>
      <w:r w:rsidRPr="001E5227">
        <w:rPr>
          <w:rFonts w:cstheme="minorHAnsi"/>
          <w:b/>
          <w:bCs/>
        </w:rPr>
        <w:t>Risk Management</w:t>
      </w:r>
      <w:r w:rsidR="00390E8C" w:rsidRPr="001E5227">
        <w:rPr>
          <w:rFonts w:cstheme="minorHAnsi"/>
          <w:b/>
          <w:bCs/>
        </w:rPr>
        <w:t xml:space="preserve"> </w:t>
      </w:r>
      <w:r w:rsidR="009D4344" w:rsidRPr="001E5227">
        <w:rPr>
          <w:rFonts w:cstheme="minorHAnsi"/>
          <w:b/>
          <w:bCs/>
        </w:rPr>
        <w:t xml:space="preserve">| </w:t>
      </w:r>
      <w:r w:rsidRPr="001E5227">
        <w:rPr>
          <w:rFonts w:cstheme="minorHAnsi"/>
          <w:b/>
          <w:bCs/>
        </w:rPr>
        <w:t>Stable Returns:</w:t>
      </w:r>
      <w:r w:rsidRPr="001E5227">
        <w:rPr>
          <w:rFonts w:cstheme="minorHAnsi"/>
        </w:rPr>
        <w:t xml:space="preserve"> Investments in certain tax credits can offer stable and predictable returns, which can be attractive for insurance companies that have to manage long-term liabilities.</w:t>
      </w:r>
    </w:p>
    <w:p w14:paraId="3D2BB245" w14:textId="77777777" w:rsidR="001E5227" w:rsidRDefault="009E5EFF" w:rsidP="001E5227">
      <w:pPr>
        <w:pStyle w:val="ListParagraph"/>
        <w:numPr>
          <w:ilvl w:val="0"/>
          <w:numId w:val="4"/>
        </w:numPr>
        <w:spacing w:after="0"/>
        <w:jc w:val="both"/>
        <w:rPr>
          <w:rFonts w:cstheme="minorHAnsi"/>
        </w:rPr>
      </w:pPr>
      <w:r w:rsidRPr="001E5227">
        <w:rPr>
          <w:rFonts w:cstheme="minorHAnsi"/>
          <w:b/>
          <w:bCs/>
        </w:rPr>
        <w:t>Financial Planning</w:t>
      </w:r>
      <w:r w:rsidR="009D4344" w:rsidRPr="001E5227">
        <w:rPr>
          <w:rFonts w:cstheme="minorHAnsi"/>
          <w:b/>
          <w:bCs/>
        </w:rPr>
        <w:t xml:space="preserve"> | </w:t>
      </w:r>
      <w:r w:rsidRPr="001E5227">
        <w:rPr>
          <w:rFonts w:cstheme="minorHAnsi"/>
          <w:b/>
          <w:bCs/>
        </w:rPr>
        <w:t>Cash Flow Management:</w:t>
      </w:r>
      <w:r w:rsidRPr="001E5227">
        <w:rPr>
          <w:rFonts w:cstheme="minorHAnsi"/>
        </w:rPr>
        <w:t xml:space="preserve"> Using tax credits can help in managing cash flows by reducing the amount of cash needed to settle tax liabilities.</w:t>
      </w:r>
    </w:p>
    <w:p w14:paraId="6948A54A" w14:textId="068526BC" w:rsidR="009E5EFF" w:rsidRPr="001E5227" w:rsidRDefault="009E5EFF" w:rsidP="001E5227">
      <w:pPr>
        <w:pStyle w:val="ListParagraph"/>
        <w:numPr>
          <w:ilvl w:val="0"/>
          <w:numId w:val="4"/>
        </w:numPr>
        <w:spacing w:after="0"/>
        <w:jc w:val="both"/>
        <w:rPr>
          <w:rFonts w:cstheme="minorHAnsi"/>
        </w:rPr>
      </w:pPr>
      <w:r w:rsidRPr="001E5227">
        <w:rPr>
          <w:rFonts w:cstheme="minorHAnsi"/>
          <w:b/>
          <w:bCs/>
        </w:rPr>
        <w:t>Tax Planning:</w:t>
      </w:r>
      <w:r w:rsidRPr="001E5227">
        <w:rPr>
          <w:rFonts w:cstheme="minorHAnsi"/>
        </w:rPr>
        <w:t xml:space="preserve"> Incorporating tax credits into their financial planning can help insurance companies optimize their tax position.</w:t>
      </w:r>
    </w:p>
    <w:p w14:paraId="42D40465" w14:textId="77777777" w:rsidR="009D4344" w:rsidRDefault="009D4344" w:rsidP="009E5EFF">
      <w:pPr>
        <w:spacing w:after="0"/>
        <w:ind w:left="720"/>
        <w:jc w:val="both"/>
        <w:rPr>
          <w:rFonts w:cstheme="minorHAnsi"/>
        </w:rPr>
      </w:pPr>
    </w:p>
    <w:p w14:paraId="14CEBDB9" w14:textId="77777777" w:rsidR="009D4344" w:rsidRPr="009E5EFF" w:rsidRDefault="009D4344" w:rsidP="009E5EFF">
      <w:pPr>
        <w:spacing w:after="0"/>
        <w:ind w:left="720"/>
        <w:jc w:val="both"/>
        <w:rPr>
          <w:rFonts w:cstheme="minorHAnsi"/>
        </w:rPr>
      </w:pPr>
    </w:p>
    <w:p w14:paraId="7466247C" w14:textId="77777777" w:rsidR="009D4344" w:rsidRDefault="009D4344" w:rsidP="009E5EFF">
      <w:pPr>
        <w:spacing w:after="0"/>
        <w:ind w:left="720"/>
        <w:jc w:val="both"/>
        <w:rPr>
          <w:rFonts w:cstheme="minorHAnsi"/>
        </w:rPr>
      </w:pPr>
    </w:p>
    <w:p w14:paraId="4BD32C42" w14:textId="77777777" w:rsidR="009D4344" w:rsidRDefault="009D4344" w:rsidP="009E5EFF">
      <w:pPr>
        <w:spacing w:after="0"/>
        <w:ind w:left="720"/>
        <w:jc w:val="both"/>
        <w:rPr>
          <w:rFonts w:cstheme="minorHAnsi"/>
        </w:rPr>
      </w:pPr>
    </w:p>
    <w:p w14:paraId="1889A44C" w14:textId="77777777" w:rsidR="009D4344" w:rsidRDefault="009D4344" w:rsidP="009E5EFF">
      <w:pPr>
        <w:spacing w:after="0"/>
        <w:ind w:left="720"/>
        <w:jc w:val="both"/>
        <w:rPr>
          <w:rFonts w:cstheme="minorHAnsi"/>
        </w:rPr>
      </w:pPr>
    </w:p>
    <w:p w14:paraId="45183463" w14:textId="77777777" w:rsidR="009D4344" w:rsidRDefault="009D4344" w:rsidP="009E5EFF">
      <w:pPr>
        <w:spacing w:after="0"/>
        <w:ind w:left="720"/>
        <w:jc w:val="both"/>
        <w:rPr>
          <w:rFonts w:cstheme="minorHAnsi"/>
        </w:rPr>
      </w:pPr>
    </w:p>
    <w:p w14:paraId="7B458FBF" w14:textId="77777777" w:rsidR="009D4344" w:rsidRDefault="009D4344" w:rsidP="009E5EFF">
      <w:pPr>
        <w:spacing w:after="0"/>
        <w:ind w:left="720"/>
        <w:jc w:val="both"/>
        <w:rPr>
          <w:rFonts w:cstheme="minorHAnsi"/>
        </w:rPr>
      </w:pPr>
    </w:p>
    <w:p w14:paraId="67EB60E4" w14:textId="77777777" w:rsidR="00BA2CCF" w:rsidRPr="00BA2CCF" w:rsidRDefault="00BA2CCF" w:rsidP="00BA2CCF">
      <w:pPr>
        <w:pStyle w:val="ListParagraph"/>
        <w:spacing w:after="0"/>
        <w:ind w:left="1485"/>
        <w:jc w:val="both"/>
        <w:rPr>
          <w:rFonts w:cstheme="minorHAnsi"/>
        </w:rPr>
      </w:pPr>
    </w:p>
    <w:p w14:paraId="753BF1E0" w14:textId="77777777" w:rsidR="00BA2CCF" w:rsidRPr="00BA2CCF" w:rsidRDefault="00BA2CCF" w:rsidP="00BA2CCF">
      <w:pPr>
        <w:pStyle w:val="ListParagraph"/>
        <w:spacing w:after="0"/>
        <w:ind w:left="1485"/>
        <w:jc w:val="both"/>
        <w:rPr>
          <w:rFonts w:cstheme="minorHAnsi"/>
        </w:rPr>
      </w:pPr>
    </w:p>
    <w:p w14:paraId="7D608A3D" w14:textId="77777777" w:rsidR="00BA2CCF" w:rsidRPr="00BA2CCF" w:rsidRDefault="00BA2CCF" w:rsidP="00BA2CCF">
      <w:pPr>
        <w:pStyle w:val="ListParagraph"/>
        <w:spacing w:after="0"/>
        <w:ind w:left="1485"/>
        <w:jc w:val="both"/>
        <w:rPr>
          <w:rFonts w:cstheme="minorHAnsi"/>
        </w:rPr>
      </w:pPr>
    </w:p>
    <w:p w14:paraId="06B1C3DB" w14:textId="6362C1F8" w:rsidR="001E5227" w:rsidRDefault="009E5EFF" w:rsidP="001E5227">
      <w:pPr>
        <w:pStyle w:val="ListParagraph"/>
        <w:numPr>
          <w:ilvl w:val="0"/>
          <w:numId w:val="4"/>
        </w:numPr>
        <w:spacing w:after="0"/>
        <w:jc w:val="both"/>
        <w:rPr>
          <w:rFonts w:cstheme="minorHAnsi"/>
        </w:rPr>
      </w:pPr>
      <w:r w:rsidRPr="001E5227">
        <w:rPr>
          <w:rFonts w:cstheme="minorHAnsi"/>
          <w:b/>
          <w:bCs/>
        </w:rPr>
        <w:t>Building Partnerships and Network</w:t>
      </w:r>
      <w:r w:rsidR="009D4344" w:rsidRPr="001E5227">
        <w:rPr>
          <w:rFonts w:cstheme="minorHAnsi"/>
          <w:b/>
          <w:bCs/>
        </w:rPr>
        <w:t xml:space="preserve"> | </w:t>
      </w:r>
      <w:r w:rsidRPr="001E5227">
        <w:rPr>
          <w:rFonts w:cstheme="minorHAnsi"/>
          <w:b/>
          <w:bCs/>
        </w:rPr>
        <w:t xml:space="preserve">Strengthening Industry Relationships: </w:t>
      </w:r>
      <w:r w:rsidRPr="001E5227">
        <w:rPr>
          <w:rFonts w:cstheme="minorHAnsi"/>
        </w:rPr>
        <w:t>Engaging in transactions related to tax credits can help insurance companies build relationships with other</w:t>
      </w:r>
      <w:r w:rsidR="008D26F8">
        <w:rPr>
          <w:rFonts w:cstheme="minorHAnsi"/>
        </w:rPr>
        <w:t xml:space="preserve">s </w:t>
      </w:r>
      <w:r w:rsidRPr="001E5227">
        <w:rPr>
          <w:rFonts w:cstheme="minorHAnsi"/>
        </w:rPr>
        <w:t>in the industries they are supporting.</w:t>
      </w:r>
    </w:p>
    <w:p w14:paraId="6C591FF0" w14:textId="3F18DBDE" w:rsidR="004638BE" w:rsidRDefault="004638BE" w:rsidP="00B669B3">
      <w:pPr>
        <w:spacing w:after="0"/>
        <w:rPr>
          <w:rFonts w:cstheme="minorHAnsi"/>
        </w:rPr>
      </w:pPr>
    </w:p>
    <w:p w14:paraId="4B14F295" w14:textId="1D232168" w:rsidR="000C5782" w:rsidRDefault="00E64AA1" w:rsidP="000C5782">
      <w:pPr>
        <w:spacing w:after="0"/>
        <w:jc w:val="both"/>
        <w:rPr>
          <w:rFonts w:cstheme="minorHAnsi"/>
        </w:rPr>
      </w:pPr>
      <w:r w:rsidRPr="00E64AA1">
        <w:rPr>
          <w:rFonts w:cstheme="minorHAnsi"/>
        </w:rPr>
        <w:t>Federal tax credits are typically based on eligible expenses incurred by the project sponsor. They are often limited to what's available in the private market, although there are exceptions. It's crucial to understand that a project's life cycle can span up to three years, with the duration varying by state and project type. Tax equity is often committed to the project very early in its life cycle. Hence, we advise taxpayers to plan a year ahead before utilizing these credits. Doing so allows taxpayers and their advisors to strategically obtain the necessary credits to mitigate their tax liability. Based on our observations, those who delay purchasing federal credits until the third or fourth quarter of the intended utilization year often face higher costs, which can diminish their returns.</w:t>
      </w:r>
    </w:p>
    <w:p w14:paraId="60F56693" w14:textId="77777777" w:rsidR="00E64AA1" w:rsidRPr="000C5782" w:rsidRDefault="00E64AA1" w:rsidP="000C5782">
      <w:pPr>
        <w:spacing w:after="0"/>
        <w:jc w:val="both"/>
        <w:rPr>
          <w:rFonts w:cstheme="minorHAnsi"/>
        </w:rPr>
      </w:pPr>
    </w:p>
    <w:p w14:paraId="0F6ECA1E" w14:textId="194F8638" w:rsidR="000C5782" w:rsidRDefault="000C5782" w:rsidP="000C5782">
      <w:pPr>
        <w:spacing w:after="0"/>
        <w:jc w:val="both"/>
        <w:rPr>
          <w:rFonts w:cstheme="minorHAnsi"/>
        </w:rPr>
      </w:pPr>
      <w:r w:rsidRPr="000C5782">
        <w:rPr>
          <w:rFonts w:cstheme="minorHAnsi"/>
        </w:rPr>
        <w:t xml:space="preserve">If the benefits and potential cash flow interest you, we'd love to connect. We can help determine if our program aligns with your organization's </w:t>
      </w:r>
      <w:r w:rsidR="00F106B8">
        <w:rPr>
          <w:rFonts w:cstheme="minorHAnsi"/>
        </w:rPr>
        <w:t>goals and direction</w:t>
      </w:r>
      <w:r w:rsidRPr="000C5782">
        <w:rPr>
          <w:rFonts w:cstheme="minorHAnsi"/>
        </w:rPr>
        <w:t>.</w:t>
      </w:r>
      <w:r w:rsidR="00F106B8">
        <w:rPr>
          <w:rFonts w:cstheme="minorHAnsi"/>
        </w:rPr>
        <w:t xml:space="preserve"> </w:t>
      </w:r>
    </w:p>
    <w:p w14:paraId="2455BE2E" w14:textId="77777777" w:rsidR="00F106B8" w:rsidRDefault="00F106B8" w:rsidP="000C5782">
      <w:pPr>
        <w:spacing w:after="0"/>
        <w:jc w:val="both"/>
        <w:rPr>
          <w:rFonts w:cstheme="minorHAnsi"/>
        </w:rPr>
      </w:pPr>
    </w:p>
    <w:sectPr w:rsidR="00F106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FE06" w14:textId="77777777" w:rsidR="00D20752" w:rsidRDefault="00D20752" w:rsidP="00002DE9">
      <w:pPr>
        <w:spacing w:after="0" w:line="240" w:lineRule="auto"/>
      </w:pPr>
      <w:r>
        <w:separator/>
      </w:r>
    </w:p>
  </w:endnote>
  <w:endnote w:type="continuationSeparator" w:id="0">
    <w:p w14:paraId="03370940" w14:textId="77777777" w:rsidR="00D20752" w:rsidRDefault="00D20752" w:rsidP="0000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301B" w14:textId="3AD57675" w:rsidR="00EB1F91" w:rsidRDefault="00886764" w:rsidP="007F7215">
    <w:pPr>
      <w:pStyle w:val="Footer"/>
      <w:jc w:val="both"/>
    </w:pPr>
    <w:r>
      <w:rPr>
        <w:noProof/>
      </w:rPr>
      <mc:AlternateContent>
        <mc:Choice Requires="wps">
          <w:drawing>
            <wp:anchor distT="45720" distB="45720" distL="114300" distR="114300" simplePos="0" relativeHeight="251661312" behindDoc="0" locked="0" layoutInCell="1" allowOverlap="1" wp14:anchorId="2A2E473D" wp14:editId="04FDBBF5">
              <wp:simplePos x="0" y="0"/>
              <wp:positionH relativeFrom="margin">
                <wp:posOffset>-723900</wp:posOffset>
              </wp:positionH>
              <wp:positionV relativeFrom="paragraph">
                <wp:posOffset>247015</wp:posOffset>
              </wp:positionV>
              <wp:extent cx="7496175" cy="276225"/>
              <wp:effectExtent l="0" t="0" r="0" b="0"/>
              <wp:wrapNone/>
              <wp:docPr id="16034846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276225"/>
                      </a:xfrm>
                      <a:prstGeom prst="rect">
                        <a:avLst/>
                      </a:prstGeom>
                      <a:noFill/>
                      <a:ln w="9525">
                        <a:noFill/>
                        <a:miter lim="800000"/>
                        <a:headEnd/>
                        <a:tailEnd/>
                      </a:ln>
                    </wps:spPr>
                    <wps:txbx>
                      <w:txbxContent>
                        <w:p w14:paraId="28F34082" w14:textId="1B7EC714" w:rsidR="00886764" w:rsidRDefault="00886764" w:rsidP="00886764">
                          <w:pPr>
                            <w:pStyle w:val="Footer"/>
                          </w:pPr>
                          <w:r>
                            <w:t xml:space="preserve">Vine Investment Partners, LLC | 309 Settlers Trace Blvd. Ste 200 Lafayette, La 70508 | </w:t>
                          </w:r>
                          <w:hyperlink r:id="rId1" w:history="1">
                            <w:r w:rsidRPr="009F71A2">
                              <w:rPr>
                                <w:rStyle w:val="Hyperlink"/>
                              </w:rPr>
                              <w:t>Addison@VineFirm.com</w:t>
                            </w:r>
                          </w:hyperlink>
                          <w:r>
                            <w:t xml:space="preserve"> | (337) 258-2449</w:t>
                          </w:r>
                        </w:p>
                        <w:p w14:paraId="16FE74D9" w14:textId="77777777" w:rsidR="00886764" w:rsidRDefault="00886764" w:rsidP="008867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E473D" id="_x0000_t202" coordsize="21600,21600" o:spt="202" path="m,l,21600r21600,l21600,xe">
              <v:stroke joinstyle="miter"/>
              <v:path gradientshapeok="t" o:connecttype="rect"/>
            </v:shapetype>
            <v:shape id="Text Box 2" o:spid="_x0000_s1026" type="#_x0000_t202" style="position:absolute;left:0;text-align:left;margin-left:-57pt;margin-top:19.45pt;width:590.25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" filled="f" stroked="f">
              <v:textbox>
                <w:txbxContent>
                  <w:p w14:paraId="28F34082" w14:textId="1B7EC714" w:rsidR="00886764" w:rsidRDefault="00886764" w:rsidP="00886764">
                    <w:pPr>
                      <w:pStyle w:val="Footer"/>
                    </w:pPr>
                    <w:r>
                      <w:t xml:space="preserve">Vine Investment Partners, LLC | 309 Settlers Trace Blvd. Ste 200 Lafayette, La 70508 | </w:t>
                    </w:r>
                    <w:hyperlink r:id="rId2" w:history="1">
                      <w:r w:rsidRPr="009F71A2">
                        <w:rPr>
                          <w:rStyle w:val="Hyperlink"/>
                        </w:rPr>
                        <w:t>Addison@VineFirm.com</w:t>
                      </w:r>
                    </w:hyperlink>
                    <w:r>
                      <w:t xml:space="preserve"> | (337) 258-2449</w:t>
                    </w:r>
                  </w:p>
                  <w:p w14:paraId="16FE74D9" w14:textId="77777777" w:rsidR="00886764" w:rsidRDefault="00886764" w:rsidP="00886764"/>
                </w:txbxContent>
              </v:textbox>
              <w10:wrap anchorx="margin"/>
            </v:shape>
          </w:pict>
        </mc:Fallback>
      </mc:AlternateContent>
    </w:r>
    <w:r w:rsidR="00C158CF">
      <w:rPr>
        <w:noProof/>
      </w:rPr>
      <mc:AlternateContent>
        <mc:Choice Requires="wps">
          <w:drawing>
            <wp:anchor distT="0" distB="0" distL="114300" distR="114300" simplePos="0" relativeHeight="251659264" behindDoc="0" locked="0" layoutInCell="1" allowOverlap="1" wp14:anchorId="7D8F20C5" wp14:editId="38DEE9AA">
              <wp:simplePos x="0" y="0"/>
              <wp:positionH relativeFrom="column">
                <wp:posOffset>-1276350</wp:posOffset>
              </wp:positionH>
              <wp:positionV relativeFrom="paragraph">
                <wp:posOffset>142875</wp:posOffset>
              </wp:positionV>
              <wp:extent cx="10487025" cy="466725"/>
              <wp:effectExtent l="0" t="0" r="9525" b="9525"/>
              <wp:wrapNone/>
              <wp:docPr id="1095334859" name="Rectangle 1095334859"/>
              <wp:cNvGraphicFramePr/>
              <a:graphic xmlns:a="http://schemas.openxmlformats.org/drawingml/2006/main">
                <a:graphicData uri="http://schemas.microsoft.com/office/word/2010/wordprocessingShape">
                  <wps:wsp>
                    <wps:cNvSpPr/>
                    <wps:spPr>
                      <a:xfrm>
                        <a:off x="0" y="0"/>
                        <a:ext cx="10487025" cy="4667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BA43B" id="Rectangle 1095334859" o:spid="_x0000_s1026" style="position:absolute;margin-left:-100.5pt;margin-top:11.25pt;width:825.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" fillcolor="#d8d8d8 [2732]" stroked="f" strokeweight="1pt"/>
          </w:pict>
        </mc:Fallback>
      </mc:AlternateContent>
    </w:r>
    <w:r w:rsidR="00585E0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DE46" w14:textId="77777777" w:rsidR="00D20752" w:rsidRDefault="00D20752" w:rsidP="00002DE9">
      <w:pPr>
        <w:spacing w:after="0" w:line="240" w:lineRule="auto"/>
      </w:pPr>
      <w:r>
        <w:separator/>
      </w:r>
    </w:p>
  </w:footnote>
  <w:footnote w:type="continuationSeparator" w:id="0">
    <w:p w14:paraId="032A9ABE" w14:textId="77777777" w:rsidR="00D20752" w:rsidRDefault="00D20752" w:rsidP="0000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CD8A" w14:textId="5D9512A4" w:rsidR="00002DE9" w:rsidRPr="00002DE9" w:rsidRDefault="00002DE9" w:rsidP="00002DE9">
    <w:pPr>
      <w:pStyle w:val="Header"/>
      <w:jc w:val="center"/>
    </w:pPr>
    <w:r>
      <w:rPr>
        <w:noProof/>
      </w:rPr>
      <w:drawing>
        <wp:inline distT="0" distB="0" distL="0" distR="0" wp14:anchorId="3AF912B1" wp14:editId="5E5FBAAE">
          <wp:extent cx="2450592" cy="841248"/>
          <wp:effectExtent l="0" t="0" r="6985" b="0"/>
          <wp:docPr id="991148847" name="Picture 1"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148847" name="Picture 1"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0592" cy="841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0FA"/>
    <w:multiLevelType w:val="multilevel"/>
    <w:tmpl w:val="9F226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47021"/>
    <w:multiLevelType w:val="hybridMultilevel"/>
    <w:tmpl w:val="FEEE8C3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49504404"/>
    <w:multiLevelType w:val="multilevel"/>
    <w:tmpl w:val="407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360F0F"/>
    <w:multiLevelType w:val="multilevel"/>
    <w:tmpl w:val="EFD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3D533D"/>
    <w:multiLevelType w:val="hybridMultilevel"/>
    <w:tmpl w:val="F62A5C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84156330">
    <w:abstractNumId w:val="2"/>
  </w:num>
  <w:num w:numId="2" w16cid:durableId="631836092">
    <w:abstractNumId w:val="0"/>
  </w:num>
  <w:num w:numId="3" w16cid:durableId="374742040">
    <w:abstractNumId w:val="3"/>
  </w:num>
  <w:num w:numId="4" w16cid:durableId="191262711">
    <w:abstractNumId w:val="1"/>
  </w:num>
  <w:num w:numId="5" w16cid:durableId="314532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58"/>
    <w:rsid w:val="00002DE9"/>
    <w:rsid w:val="00006737"/>
    <w:rsid w:val="0003505A"/>
    <w:rsid w:val="00037656"/>
    <w:rsid w:val="00050386"/>
    <w:rsid w:val="000917DD"/>
    <w:rsid w:val="000976C9"/>
    <w:rsid w:val="000B7F76"/>
    <w:rsid w:val="000C5782"/>
    <w:rsid w:val="000D6D93"/>
    <w:rsid w:val="00111A73"/>
    <w:rsid w:val="0015106B"/>
    <w:rsid w:val="00157418"/>
    <w:rsid w:val="00176531"/>
    <w:rsid w:val="00186D4B"/>
    <w:rsid w:val="001A59BF"/>
    <w:rsid w:val="001E5227"/>
    <w:rsid w:val="001E7568"/>
    <w:rsid w:val="002206FC"/>
    <w:rsid w:val="00254D27"/>
    <w:rsid w:val="00260C42"/>
    <w:rsid w:val="00261BC8"/>
    <w:rsid w:val="0028063D"/>
    <w:rsid w:val="002A51BE"/>
    <w:rsid w:val="002D3773"/>
    <w:rsid w:val="002F02E5"/>
    <w:rsid w:val="00302522"/>
    <w:rsid w:val="003164EA"/>
    <w:rsid w:val="003209CD"/>
    <w:rsid w:val="00321E3B"/>
    <w:rsid w:val="0032226E"/>
    <w:rsid w:val="00325D34"/>
    <w:rsid w:val="00337138"/>
    <w:rsid w:val="00344E1D"/>
    <w:rsid w:val="0038108C"/>
    <w:rsid w:val="00390E8C"/>
    <w:rsid w:val="00391672"/>
    <w:rsid w:val="00391A23"/>
    <w:rsid w:val="003B0172"/>
    <w:rsid w:val="003D3E5C"/>
    <w:rsid w:val="003E0F11"/>
    <w:rsid w:val="004011E3"/>
    <w:rsid w:val="0040663C"/>
    <w:rsid w:val="00440D01"/>
    <w:rsid w:val="004638BE"/>
    <w:rsid w:val="00471344"/>
    <w:rsid w:val="0047645E"/>
    <w:rsid w:val="00486A6B"/>
    <w:rsid w:val="00492D59"/>
    <w:rsid w:val="004C05EF"/>
    <w:rsid w:val="004C1BE7"/>
    <w:rsid w:val="004C5904"/>
    <w:rsid w:val="004C6E3A"/>
    <w:rsid w:val="004E411F"/>
    <w:rsid w:val="00510570"/>
    <w:rsid w:val="00514E9F"/>
    <w:rsid w:val="00515624"/>
    <w:rsid w:val="00524EDF"/>
    <w:rsid w:val="00553766"/>
    <w:rsid w:val="00555F58"/>
    <w:rsid w:val="005668A6"/>
    <w:rsid w:val="00585E01"/>
    <w:rsid w:val="005B2925"/>
    <w:rsid w:val="005B33EC"/>
    <w:rsid w:val="005E0870"/>
    <w:rsid w:val="005F43E3"/>
    <w:rsid w:val="005F4E2B"/>
    <w:rsid w:val="005F60C6"/>
    <w:rsid w:val="00602D8A"/>
    <w:rsid w:val="0062174F"/>
    <w:rsid w:val="006352AA"/>
    <w:rsid w:val="00670025"/>
    <w:rsid w:val="006878EA"/>
    <w:rsid w:val="006C1F6D"/>
    <w:rsid w:val="006E3B8D"/>
    <w:rsid w:val="006F33AA"/>
    <w:rsid w:val="00712F1D"/>
    <w:rsid w:val="00741980"/>
    <w:rsid w:val="007436F2"/>
    <w:rsid w:val="007730D1"/>
    <w:rsid w:val="00790D59"/>
    <w:rsid w:val="00795F9A"/>
    <w:rsid w:val="007B58FE"/>
    <w:rsid w:val="007E4BED"/>
    <w:rsid w:val="007F7215"/>
    <w:rsid w:val="0080259D"/>
    <w:rsid w:val="00817670"/>
    <w:rsid w:val="00854716"/>
    <w:rsid w:val="00855036"/>
    <w:rsid w:val="00862B0F"/>
    <w:rsid w:val="00886764"/>
    <w:rsid w:val="00894579"/>
    <w:rsid w:val="008A0BA5"/>
    <w:rsid w:val="008D26F8"/>
    <w:rsid w:val="008E6D79"/>
    <w:rsid w:val="008F7693"/>
    <w:rsid w:val="00914473"/>
    <w:rsid w:val="00943C67"/>
    <w:rsid w:val="00966015"/>
    <w:rsid w:val="00984B1A"/>
    <w:rsid w:val="00986186"/>
    <w:rsid w:val="009A3147"/>
    <w:rsid w:val="009B5936"/>
    <w:rsid w:val="009C58A7"/>
    <w:rsid w:val="009D4344"/>
    <w:rsid w:val="009E5D35"/>
    <w:rsid w:val="009E5EFF"/>
    <w:rsid w:val="009F111A"/>
    <w:rsid w:val="009F5E90"/>
    <w:rsid w:val="00A37EA4"/>
    <w:rsid w:val="00A61C53"/>
    <w:rsid w:val="00A66F51"/>
    <w:rsid w:val="00A766D6"/>
    <w:rsid w:val="00A824F0"/>
    <w:rsid w:val="00AC1F66"/>
    <w:rsid w:val="00AC69A8"/>
    <w:rsid w:val="00B16229"/>
    <w:rsid w:val="00B1705D"/>
    <w:rsid w:val="00B22124"/>
    <w:rsid w:val="00B36822"/>
    <w:rsid w:val="00B602F9"/>
    <w:rsid w:val="00B669B3"/>
    <w:rsid w:val="00B76537"/>
    <w:rsid w:val="00B96C93"/>
    <w:rsid w:val="00BA2CCF"/>
    <w:rsid w:val="00BB63A3"/>
    <w:rsid w:val="00BE0277"/>
    <w:rsid w:val="00BF7FAB"/>
    <w:rsid w:val="00C045E5"/>
    <w:rsid w:val="00C05ABD"/>
    <w:rsid w:val="00C07B3C"/>
    <w:rsid w:val="00C158CF"/>
    <w:rsid w:val="00C30899"/>
    <w:rsid w:val="00C553CC"/>
    <w:rsid w:val="00C56D51"/>
    <w:rsid w:val="00C67CD0"/>
    <w:rsid w:val="00C91D4D"/>
    <w:rsid w:val="00C92D77"/>
    <w:rsid w:val="00C94E8F"/>
    <w:rsid w:val="00C97220"/>
    <w:rsid w:val="00CA02F3"/>
    <w:rsid w:val="00CA1328"/>
    <w:rsid w:val="00CA6159"/>
    <w:rsid w:val="00CB0D4C"/>
    <w:rsid w:val="00CB3904"/>
    <w:rsid w:val="00CD28E8"/>
    <w:rsid w:val="00CF55BB"/>
    <w:rsid w:val="00D20752"/>
    <w:rsid w:val="00D50790"/>
    <w:rsid w:val="00D543A1"/>
    <w:rsid w:val="00D63412"/>
    <w:rsid w:val="00D74D3C"/>
    <w:rsid w:val="00D83192"/>
    <w:rsid w:val="00D8671F"/>
    <w:rsid w:val="00DB60C9"/>
    <w:rsid w:val="00E366B2"/>
    <w:rsid w:val="00E64AA1"/>
    <w:rsid w:val="00E719E1"/>
    <w:rsid w:val="00E93840"/>
    <w:rsid w:val="00EB1F91"/>
    <w:rsid w:val="00EB4A23"/>
    <w:rsid w:val="00EC34F3"/>
    <w:rsid w:val="00EF38F8"/>
    <w:rsid w:val="00EF7922"/>
    <w:rsid w:val="00F03008"/>
    <w:rsid w:val="00F061C2"/>
    <w:rsid w:val="00F106B8"/>
    <w:rsid w:val="00F1158A"/>
    <w:rsid w:val="00F6373F"/>
    <w:rsid w:val="00F76E97"/>
    <w:rsid w:val="00F90B77"/>
    <w:rsid w:val="00F93F4D"/>
    <w:rsid w:val="00FA4A6B"/>
    <w:rsid w:val="00FA5B94"/>
    <w:rsid w:val="00FC7DA6"/>
    <w:rsid w:val="00FD159E"/>
    <w:rsid w:val="00FE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2DACA"/>
  <w15:chartTrackingRefBased/>
  <w15:docId w15:val="{ED050E6D-C6DD-4BBB-ACA8-8DCBF460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DE9"/>
  </w:style>
  <w:style w:type="paragraph" w:styleId="Footer">
    <w:name w:val="footer"/>
    <w:basedOn w:val="Normal"/>
    <w:link w:val="FooterChar"/>
    <w:uiPriority w:val="99"/>
    <w:unhideWhenUsed/>
    <w:rsid w:val="0000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DE9"/>
  </w:style>
  <w:style w:type="character" w:styleId="Hyperlink">
    <w:name w:val="Hyperlink"/>
    <w:basedOn w:val="DefaultParagraphFont"/>
    <w:uiPriority w:val="99"/>
    <w:unhideWhenUsed/>
    <w:rsid w:val="00585E01"/>
    <w:rPr>
      <w:color w:val="0563C1" w:themeColor="hyperlink"/>
      <w:u w:val="single"/>
    </w:rPr>
  </w:style>
  <w:style w:type="character" w:styleId="UnresolvedMention">
    <w:name w:val="Unresolved Mention"/>
    <w:basedOn w:val="DefaultParagraphFont"/>
    <w:uiPriority w:val="99"/>
    <w:semiHidden/>
    <w:unhideWhenUsed/>
    <w:rsid w:val="00585E01"/>
    <w:rPr>
      <w:color w:val="605E5C"/>
      <w:shd w:val="clear" w:color="auto" w:fill="E1DFDD"/>
    </w:rPr>
  </w:style>
  <w:style w:type="paragraph" w:styleId="ListParagraph">
    <w:name w:val="List Paragraph"/>
    <w:basedOn w:val="Normal"/>
    <w:uiPriority w:val="34"/>
    <w:qFormat/>
    <w:rsid w:val="004E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02352">
      <w:bodyDiv w:val="1"/>
      <w:marLeft w:val="0"/>
      <w:marRight w:val="0"/>
      <w:marTop w:val="0"/>
      <w:marBottom w:val="0"/>
      <w:divBdr>
        <w:top w:val="none" w:sz="0" w:space="0" w:color="auto"/>
        <w:left w:val="none" w:sz="0" w:space="0" w:color="auto"/>
        <w:bottom w:val="none" w:sz="0" w:space="0" w:color="auto"/>
        <w:right w:val="none" w:sz="0" w:space="0" w:color="auto"/>
      </w:divBdr>
    </w:div>
    <w:div w:id="895746236">
      <w:bodyDiv w:val="1"/>
      <w:marLeft w:val="0"/>
      <w:marRight w:val="0"/>
      <w:marTop w:val="0"/>
      <w:marBottom w:val="0"/>
      <w:divBdr>
        <w:top w:val="none" w:sz="0" w:space="0" w:color="auto"/>
        <w:left w:val="none" w:sz="0" w:space="0" w:color="auto"/>
        <w:bottom w:val="none" w:sz="0" w:space="0" w:color="auto"/>
        <w:right w:val="none" w:sz="0" w:space="0" w:color="auto"/>
      </w:divBdr>
      <w:divsChild>
        <w:div w:id="1296913489">
          <w:marLeft w:val="0"/>
          <w:marRight w:val="0"/>
          <w:marTop w:val="0"/>
          <w:marBottom w:val="0"/>
          <w:divBdr>
            <w:top w:val="single" w:sz="2" w:space="0" w:color="D9D9E3"/>
            <w:left w:val="single" w:sz="2" w:space="0" w:color="D9D9E3"/>
            <w:bottom w:val="single" w:sz="2" w:space="0" w:color="D9D9E3"/>
            <w:right w:val="single" w:sz="2" w:space="0" w:color="D9D9E3"/>
          </w:divBdr>
          <w:divsChild>
            <w:div w:id="53311859">
              <w:marLeft w:val="0"/>
              <w:marRight w:val="0"/>
              <w:marTop w:val="0"/>
              <w:marBottom w:val="0"/>
              <w:divBdr>
                <w:top w:val="single" w:sz="2" w:space="0" w:color="D9D9E3"/>
                <w:left w:val="single" w:sz="2" w:space="0" w:color="D9D9E3"/>
                <w:bottom w:val="single" w:sz="2" w:space="0" w:color="D9D9E3"/>
                <w:right w:val="single" w:sz="2" w:space="0" w:color="D9D9E3"/>
              </w:divBdr>
              <w:divsChild>
                <w:div w:id="1050346650">
                  <w:marLeft w:val="0"/>
                  <w:marRight w:val="0"/>
                  <w:marTop w:val="0"/>
                  <w:marBottom w:val="0"/>
                  <w:divBdr>
                    <w:top w:val="single" w:sz="2" w:space="0" w:color="D9D9E3"/>
                    <w:left w:val="single" w:sz="2" w:space="0" w:color="D9D9E3"/>
                    <w:bottom w:val="single" w:sz="2" w:space="0" w:color="D9D9E3"/>
                    <w:right w:val="single" w:sz="2" w:space="0" w:color="D9D9E3"/>
                  </w:divBdr>
                  <w:divsChild>
                    <w:div w:id="141041447">
                      <w:marLeft w:val="0"/>
                      <w:marRight w:val="0"/>
                      <w:marTop w:val="0"/>
                      <w:marBottom w:val="0"/>
                      <w:divBdr>
                        <w:top w:val="single" w:sz="2" w:space="0" w:color="D9D9E3"/>
                        <w:left w:val="single" w:sz="2" w:space="0" w:color="D9D9E3"/>
                        <w:bottom w:val="single" w:sz="2" w:space="0" w:color="D9D9E3"/>
                        <w:right w:val="single" w:sz="2" w:space="0" w:color="D9D9E3"/>
                      </w:divBdr>
                      <w:divsChild>
                        <w:div w:id="1556114510">
                          <w:marLeft w:val="0"/>
                          <w:marRight w:val="0"/>
                          <w:marTop w:val="0"/>
                          <w:marBottom w:val="0"/>
                          <w:divBdr>
                            <w:top w:val="single" w:sz="2" w:space="0" w:color="auto"/>
                            <w:left w:val="single" w:sz="2" w:space="0" w:color="auto"/>
                            <w:bottom w:val="single" w:sz="6" w:space="0" w:color="auto"/>
                            <w:right w:val="single" w:sz="2" w:space="0" w:color="auto"/>
                          </w:divBdr>
                          <w:divsChild>
                            <w:div w:id="1308826278">
                              <w:marLeft w:val="0"/>
                              <w:marRight w:val="0"/>
                              <w:marTop w:val="100"/>
                              <w:marBottom w:val="100"/>
                              <w:divBdr>
                                <w:top w:val="single" w:sz="2" w:space="0" w:color="D9D9E3"/>
                                <w:left w:val="single" w:sz="2" w:space="0" w:color="D9D9E3"/>
                                <w:bottom w:val="single" w:sz="2" w:space="0" w:color="D9D9E3"/>
                                <w:right w:val="single" w:sz="2" w:space="0" w:color="D9D9E3"/>
                              </w:divBdr>
                              <w:divsChild>
                                <w:div w:id="247691097">
                                  <w:marLeft w:val="0"/>
                                  <w:marRight w:val="0"/>
                                  <w:marTop w:val="0"/>
                                  <w:marBottom w:val="0"/>
                                  <w:divBdr>
                                    <w:top w:val="single" w:sz="2" w:space="0" w:color="D9D9E3"/>
                                    <w:left w:val="single" w:sz="2" w:space="0" w:color="D9D9E3"/>
                                    <w:bottom w:val="single" w:sz="2" w:space="0" w:color="D9D9E3"/>
                                    <w:right w:val="single" w:sz="2" w:space="0" w:color="D9D9E3"/>
                                  </w:divBdr>
                                  <w:divsChild>
                                    <w:div w:id="2130392048">
                                      <w:marLeft w:val="0"/>
                                      <w:marRight w:val="0"/>
                                      <w:marTop w:val="0"/>
                                      <w:marBottom w:val="0"/>
                                      <w:divBdr>
                                        <w:top w:val="single" w:sz="2" w:space="0" w:color="D9D9E3"/>
                                        <w:left w:val="single" w:sz="2" w:space="0" w:color="D9D9E3"/>
                                        <w:bottom w:val="single" w:sz="2" w:space="0" w:color="D9D9E3"/>
                                        <w:right w:val="single" w:sz="2" w:space="0" w:color="D9D9E3"/>
                                      </w:divBdr>
                                      <w:divsChild>
                                        <w:div w:id="756367014">
                                          <w:marLeft w:val="0"/>
                                          <w:marRight w:val="0"/>
                                          <w:marTop w:val="0"/>
                                          <w:marBottom w:val="0"/>
                                          <w:divBdr>
                                            <w:top w:val="single" w:sz="2" w:space="0" w:color="D9D9E3"/>
                                            <w:left w:val="single" w:sz="2" w:space="0" w:color="D9D9E3"/>
                                            <w:bottom w:val="single" w:sz="2" w:space="0" w:color="D9D9E3"/>
                                            <w:right w:val="single" w:sz="2" w:space="0" w:color="D9D9E3"/>
                                          </w:divBdr>
                                          <w:divsChild>
                                            <w:div w:id="700277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6670517">
          <w:marLeft w:val="0"/>
          <w:marRight w:val="0"/>
          <w:marTop w:val="0"/>
          <w:marBottom w:val="0"/>
          <w:divBdr>
            <w:top w:val="none" w:sz="0" w:space="0" w:color="auto"/>
            <w:left w:val="none" w:sz="0" w:space="0" w:color="auto"/>
            <w:bottom w:val="none" w:sz="0" w:space="0" w:color="auto"/>
            <w:right w:val="none" w:sz="0" w:space="0" w:color="auto"/>
          </w:divBdr>
        </w:div>
      </w:divsChild>
    </w:div>
    <w:div w:id="1468863926">
      <w:bodyDiv w:val="1"/>
      <w:marLeft w:val="0"/>
      <w:marRight w:val="0"/>
      <w:marTop w:val="0"/>
      <w:marBottom w:val="0"/>
      <w:divBdr>
        <w:top w:val="none" w:sz="0" w:space="0" w:color="auto"/>
        <w:left w:val="none" w:sz="0" w:space="0" w:color="auto"/>
        <w:bottom w:val="none" w:sz="0" w:space="0" w:color="auto"/>
        <w:right w:val="none" w:sz="0" w:space="0" w:color="auto"/>
      </w:divBdr>
    </w:div>
    <w:div w:id="1623921306">
      <w:bodyDiv w:val="1"/>
      <w:marLeft w:val="0"/>
      <w:marRight w:val="0"/>
      <w:marTop w:val="0"/>
      <w:marBottom w:val="0"/>
      <w:divBdr>
        <w:top w:val="none" w:sz="0" w:space="0" w:color="auto"/>
        <w:left w:val="none" w:sz="0" w:space="0" w:color="auto"/>
        <w:bottom w:val="none" w:sz="0" w:space="0" w:color="auto"/>
        <w:right w:val="none" w:sz="0" w:space="0" w:color="auto"/>
      </w:divBdr>
    </w:div>
    <w:div w:id="20220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dison@VineFirm.com" TargetMode="External"/><Relationship Id="rId1" Type="http://schemas.openxmlformats.org/officeDocument/2006/relationships/hyperlink" Target="mailto:Addison@VineFi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Henry</dc:creator>
  <cp:keywords/>
  <dc:description/>
  <cp:lastModifiedBy>Kat jennings</cp:lastModifiedBy>
  <cp:revision>2</cp:revision>
  <cp:lastPrinted>2023-08-31T19:56:00Z</cp:lastPrinted>
  <dcterms:created xsi:type="dcterms:W3CDTF">2023-10-27T19:29:00Z</dcterms:created>
  <dcterms:modified xsi:type="dcterms:W3CDTF">2023-10-27T19:29:00Z</dcterms:modified>
</cp:coreProperties>
</file>