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9C" w:rsidRPr="002A1F5E" w:rsidRDefault="00023773" w:rsidP="005420C7">
      <w:pPr>
        <w:pStyle w:val="NoSpacing"/>
        <w:rPr>
          <w:rStyle w:val="None"/>
          <w:rFonts w:asciiTheme="minorHAnsi" w:hAnsiTheme="minorHAnsi"/>
          <w:b/>
          <w:color w:val="212121"/>
          <w:u w:color="212121"/>
        </w:rPr>
      </w:pPr>
      <w:r w:rsidRPr="002A1F5E">
        <w:rPr>
          <w:rFonts w:ascii="Calibri" w:hAnsi="Calibri"/>
          <w:b/>
          <w:color w:val="000000"/>
          <w:sz w:val="22"/>
          <w:szCs w:val="22"/>
        </w:rPr>
        <w:t>FATCA Historical (R</w:t>
      </w:r>
      <w:proofErr w:type="gramStart"/>
      <w:r w:rsidRPr="002A1F5E">
        <w:rPr>
          <w:rFonts w:ascii="Calibri" w:hAnsi="Calibri"/>
          <w:b/>
          <w:color w:val="000000"/>
          <w:sz w:val="22"/>
          <w:szCs w:val="22"/>
        </w:rPr>
        <w:t>)Evolution</w:t>
      </w:r>
      <w:proofErr w:type="gramEnd"/>
      <w:r w:rsidRPr="002A1F5E">
        <w:rPr>
          <w:rFonts w:ascii="Calibri" w:hAnsi="Calibri"/>
          <w:b/>
          <w:color w:val="000000"/>
          <w:sz w:val="22"/>
          <w:szCs w:val="22"/>
        </w:rPr>
        <w:t xml:space="preserve">: </w:t>
      </w:r>
      <w:r w:rsidRPr="002A1F5E">
        <w:rPr>
          <w:rFonts w:ascii="Calibri" w:hAnsi="Calibri"/>
          <w:b/>
          <w:color w:val="000000"/>
          <w:sz w:val="22"/>
          <w:szCs w:val="22"/>
        </w:rPr>
        <w:t xml:space="preserve"> </w:t>
      </w:r>
      <w:r w:rsidRPr="002A1F5E">
        <w:rPr>
          <w:rFonts w:ascii="Calibri" w:hAnsi="Calibri"/>
          <w:b/>
          <w:color w:val="000000"/>
          <w:sz w:val="22"/>
          <w:szCs w:val="22"/>
        </w:rPr>
        <w:t>Legislative History Reveals That FATCA Had Little To Do With Collectin</w:t>
      </w:r>
      <w:r w:rsidRPr="002A1F5E">
        <w:rPr>
          <w:rFonts w:ascii="Calibri" w:hAnsi="Calibri"/>
          <w:b/>
          <w:color w:val="000000"/>
          <w:sz w:val="22"/>
          <w:szCs w:val="22"/>
        </w:rPr>
        <w:t>g Tax Revenue From U.S. Persons</w:t>
      </w:r>
      <w:r w:rsidRPr="002A1F5E">
        <w:rPr>
          <w:rFonts w:ascii="Calibri" w:hAnsi="Calibri"/>
          <w:b/>
          <w:color w:val="000000"/>
          <w:sz w:val="22"/>
          <w:szCs w:val="22"/>
        </w:rPr>
        <w:t xml:space="preserve"> Evading Tax Through Offshore Bank Accounts (Part I)</w:t>
      </w:r>
    </w:p>
    <w:p w:rsidR="00B35B70" w:rsidRDefault="00B35B70" w:rsidP="005420C7">
      <w:pPr>
        <w:pStyle w:val="NoSpacing"/>
        <w:rPr>
          <w:rStyle w:val="None"/>
          <w:rFonts w:asciiTheme="minorHAnsi" w:hAnsiTheme="minorHAnsi"/>
          <w:i/>
          <w:color w:val="212121"/>
          <w:u w:color="212121"/>
        </w:rPr>
      </w:pPr>
    </w:p>
    <w:p w:rsidR="00023773" w:rsidRPr="0072219E" w:rsidRDefault="00023773" w:rsidP="005420C7">
      <w:pPr>
        <w:pStyle w:val="NoSpacing"/>
        <w:rPr>
          <w:rStyle w:val="None"/>
          <w:rFonts w:asciiTheme="minorHAnsi" w:hAnsiTheme="minorHAnsi"/>
          <w:i/>
          <w:color w:val="212121"/>
          <w:u w:color="212121"/>
        </w:rPr>
      </w:pPr>
    </w:p>
    <w:p w:rsidR="001C7ED4" w:rsidRPr="0072219E" w:rsidRDefault="00E83761" w:rsidP="0068417B">
      <w:pPr>
        <w:pStyle w:val="NoSpacing"/>
        <w:jc w:val="center"/>
        <w:rPr>
          <w:rStyle w:val="None"/>
          <w:rFonts w:asciiTheme="minorHAnsi" w:hAnsiTheme="minorHAnsi"/>
          <w:i/>
        </w:rPr>
      </w:pPr>
      <w:r w:rsidRPr="0072219E">
        <w:rPr>
          <w:rStyle w:val="None"/>
          <w:rFonts w:asciiTheme="minorHAnsi" w:hAnsiTheme="minorHAnsi"/>
          <w:i/>
          <w:color w:val="212121"/>
          <w:u w:color="212121"/>
        </w:rPr>
        <w:t>Prior to the enactment of FATCA, Cong</w:t>
      </w:r>
      <w:r w:rsidR="0063328B" w:rsidRPr="0072219E">
        <w:rPr>
          <w:rStyle w:val="None"/>
          <w:rFonts w:asciiTheme="minorHAnsi" w:hAnsiTheme="minorHAnsi"/>
          <w:i/>
          <w:color w:val="212121"/>
          <w:u w:color="212121"/>
        </w:rPr>
        <w:t>ress and the Executive were</w:t>
      </w:r>
      <w:r w:rsidRPr="0072219E">
        <w:rPr>
          <w:rStyle w:val="None"/>
          <w:rFonts w:asciiTheme="minorHAnsi" w:hAnsiTheme="minorHAnsi"/>
          <w:i/>
          <w:color w:val="212121"/>
          <w:u w:color="212121"/>
        </w:rPr>
        <w:t xml:space="preserve"> in </w:t>
      </w:r>
      <w:r w:rsidR="000E1183" w:rsidRPr="0072219E">
        <w:rPr>
          <w:rStyle w:val="None"/>
          <w:rFonts w:asciiTheme="minorHAnsi" w:hAnsiTheme="minorHAnsi"/>
          <w:i/>
          <w:color w:val="212121"/>
          <w:u w:color="212121"/>
        </w:rPr>
        <w:t xml:space="preserve">possession of concrete-evidence revealing FATCA </w:t>
      </w:r>
      <w:r w:rsidRPr="0072219E">
        <w:rPr>
          <w:rStyle w:val="None"/>
          <w:rFonts w:asciiTheme="minorHAnsi" w:hAnsiTheme="minorHAnsi"/>
          <w:i/>
          <w:color w:val="212121"/>
          <w:u w:color="212121"/>
        </w:rPr>
        <w:t xml:space="preserve">would fail to collect any meaningful amount of </w:t>
      </w:r>
      <w:r w:rsidR="005D0BC8" w:rsidRPr="0072219E">
        <w:rPr>
          <w:rStyle w:val="None"/>
          <w:rFonts w:asciiTheme="minorHAnsi" w:hAnsiTheme="minorHAnsi"/>
          <w:i/>
        </w:rPr>
        <w:t>ta</w:t>
      </w:r>
      <w:r w:rsidR="00215030" w:rsidRPr="0072219E">
        <w:rPr>
          <w:rStyle w:val="None"/>
          <w:rFonts w:asciiTheme="minorHAnsi" w:hAnsiTheme="minorHAnsi"/>
          <w:i/>
        </w:rPr>
        <w:t>x-revenue from U.S. p</w:t>
      </w:r>
      <w:r w:rsidRPr="0072219E">
        <w:rPr>
          <w:rStyle w:val="None"/>
          <w:rFonts w:asciiTheme="minorHAnsi" w:hAnsiTheme="minorHAnsi"/>
          <w:i/>
        </w:rPr>
        <w:t>ersons evading tax through</w:t>
      </w:r>
      <w:r w:rsidR="00215030" w:rsidRPr="0072219E">
        <w:rPr>
          <w:rStyle w:val="None"/>
          <w:rFonts w:asciiTheme="minorHAnsi" w:hAnsiTheme="minorHAnsi"/>
          <w:i/>
        </w:rPr>
        <w:t xml:space="preserve"> offshore financial center holdings</w:t>
      </w:r>
      <w:r w:rsidR="000E1183" w:rsidRPr="0072219E">
        <w:rPr>
          <w:rStyle w:val="None"/>
          <w:rFonts w:asciiTheme="minorHAnsi" w:hAnsiTheme="minorHAnsi"/>
          <w:i/>
        </w:rPr>
        <w:t xml:space="preserve">.  Congress </w:t>
      </w:r>
      <w:r w:rsidR="0068417B" w:rsidRPr="0072219E">
        <w:rPr>
          <w:rStyle w:val="None"/>
          <w:rFonts w:asciiTheme="minorHAnsi" w:hAnsiTheme="minorHAnsi"/>
          <w:i/>
        </w:rPr>
        <w:t>should have halte</w:t>
      </w:r>
      <w:r w:rsidR="000E1183" w:rsidRPr="0072219E">
        <w:rPr>
          <w:rStyle w:val="None"/>
          <w:rFonts w:asciiTheme="minorHAnsi" w:hAnsiTheme="minorHAnsi"/>
          <w:i/>
        </w:rPr>
        <w:t>d enactment</w:t>
      </w:r>
      <w:r w:rsidR="00334B04" w:rsidRPr="0072219E">
        <w:rPr>
          <w:rStyle w:val="None"/>
          <w:rFonts w:asciiTheme="minorHAnsi" w:hAnsiTheme="minorHAnsi"/>
          <w:i/>
        </w:rPr>
        <w:t xml:space="preserve"> of HIRE</w:t>
      </w:r>
      <w:r w:rsidR="000E1183" w:rsidRPr="0072219E">
        <w:rPr>
          <w:rStyle w:val="None"/>
          <w:rFonts w:asciiTheme="minorHAnsi" w:hAnsiTheme="minorHAnsi"/>
          <w:i/>
        </w:rPr>
        <w:t xml:space="preserve"> – if in </w:t>
      </w:r>
      <w:proofErr w:type="gramStart"/>
      <w:r w:rsidR="000E1183" w:rsidRPr="0072219E">
        <w:rPr>
          <w:rStyle w:val="None"/>
          <w:rFonts w:asciiTheme="minorHAnsi" w:hAnsiTheme="minorHAnsi"/>
          <w:i/>
        </w:rPr>
        <w:t>fact,</w:t>
      </w:r>
      <w:proofErr w:type="gramEnd"/>
      <w:r w:rsidR="000E1183" w:rsidRPr="0072219E">
        <w:rPr>
          <w:rStyle w:val="None"/>
          <w:rFonts w:asciiTheme="minorHAnsi" w:hAnsiTheme="minorHAnsi"/>
          <w:i/>
        </w:rPr>
        <w:t xml:space="preserve"> FATCA</w:t>
      </w:r>
      <w:r w:rsidR="0068417B" w:rsidRPr="0072219E">
        <w:rPr>
          <w:rStyle w:val="None"/>
          <w:rFonts w:asciiTheme="minorHAnsi" w:hAnsiTheme="minorHAnsi"/>
          <w:i/>
        </w:rPr>
        <w:t>s purpose was to collect tax-revenue from offsh</w:t>
      </w:r>
      <w:r w:rsidR="000E1183" w:rsidRPr="0072219E">
        <w:rPr>
          <w:rStyle w:val="None"/>
          <w:rFonts w:asciiTheme="minorHAnsi" w:hAnsiTheme="minorHAnsi"/>
          <w:i/>
        </w:rPr>
        <w:t>ore tax evasion by U.</w:t>
      </w:r>
      <w:r w:rsidR="00FB6089" w:rsidRPr="0072219E">
        <w:rPr>
          <w:rStyle w:val="None"/>
          <w:rFonts w:asciiTheme="minorHAnsi" w:hAnsiTheme="minorHAnsi"/>
          <w:i/>
        </w:rPr>
        <w:t>S. persons.</w:t>
      </w:r>
    </w:p>
    <w:p w:rsidR="0078699C" w:rsidRPr="0072219E" w:rsidRDefault="0078699C" w:rsidP="005420C7">
      <w:pPr>
        <w:pStyle w:val="NoSpacing"/>
        <w:rPr>
          <w:rStyle w:val="None"/>
          <w:rFonts w:asciiTheme="minorHAnsi" w:eastAsia="Baskerville" w:hAnsiTheme="minorHAnsi"/>
        </w:rPr>
      </w:pPr>
    </w:p>
    <w:p w:rsidR="00ED4E1B" w:rsidRPr="0072219E" w:rsidRDefault="00ED4E1B" w:rsidP="00461385">
      <w:pPr>
        <w:pStyle w:val="NoSpacing"/>
        <w:rPr>
          <w:rStyle w:val="None"/>
          <w:rFonts w:asciiTheme="minorHAnsi" w:hAnsiTheme="minorHAnsi"/>
        </w:rPr>
      </w:pPr>
    </w:p>
    <w:p w:rsidR="00A615E0" w:rsidRPr="0072219E" w:rsidRDefault="00A615E0" w:rsidP="004E7B90">
      <w:pPr>
        <w:pStyle w:val="NoSpacing"/>
        <w:rPr>
          <w:rStyle w:val="None"/>
          <w:rFonts w:asciiTheme="minorHAnsi" w:hAnsiTheme="minorHAnsi"/>
        </w:rPr>
      </w:pPr>
      <w:r w:rsidRPr="0072219E">
        <w:rPr>
          <w:rStyle w:val="None"/>
          <w:rFonts w:asciiTheme="minorHAnsi" w:hAnsiTheme="minorHAnsi"/>
        </w:rPr>
        <w:t xml:space="preserve">The United States Congress used estimates from the Joint Committee on Taxation (JCT) as the foundation for supporting the Foreign Account Tax Compliance Act (FATCA), contained in the Hiring Incentives to Restore Employment Act (HIRE).  </w:t>
      </w:r>
    </w:p>
    <w:p w:rsidR="00A615E0" w:rsidRPr="0072219E" w:rsidRDefault="00A615E0" w:rsidP="004E7B90">
      <w:pPr>
        <w:pStyle w:val="NoSpacing"/>
        <w:rPr>
          <w:rStyle w:val="None"/>
          <w:rFonts w:asciiTheme="minorHAnsi" w:hAnsiTheme="minorHAnsi"/>
        </w:rPr>
      </w:pPr>
    </w:p>
    <w:p w:rsidR="000E1183" w:rsidRPr="0072219E" w:rsidRDefault="003B59DB" w:rsidP="004E7B90">
      <w:pPr>
        <w:pStyle w:val="NoSpacing"/>
        <w:rPr>
          <w:rStyle w:val="None"/>
          <w:rFonts w:asciiTheme="minorHAnsi" w:eastAsia="Calibri" w:hAnsiTheme="minorHAnsi"/>
        </w:rPr>
      </w:pPr>
      <w:r w:rsidRPr="0072219E">
        <w:rPr>
          <w:rStyle w:val="None"/>
          <w:rFonts w:asciiTheme="minorHAnsi" w:eastAsia="Calibri" w:hAnsiTheme="minorHAnsi"/>
        </w:rPr>
        <w:t xml:space="preserve">HIRE </w:t>
      </w:r>
      <w:r w:rsidR="00BF13A8" w:rsidRPr="0072219E">
        <w:rPr>
          <w:rStyle w:val="None"/>
          <w:rFonts w:asciiTheme="minorHAnsi" w:eastAsia="Calibri" w:hAnsiTheme="minorHAnsi"/>
        </w:rPr>
        <w:t xml:space="preserve">was a tax expenditure designed to encourage </w:t>
      </w:r>
      <w:r w:rsidR="00A615E0" w:rsidRPr="0072219E">
        <w:rPr>
          <w:rStyle w:val="None"/>
          <w:rFonts w:asciiTheme="minorHAnsi" w:eastAsia="Calibri" w:hAnsiTheme="minorHAnsi"/>
        </w:rPr>
        <w:t xml:space="preserve">U.S. </w:t>
      </w:r>
      <w:r w:rsidRPr="0072219E">
        <w:rPr>
          <w:rStyle w:val="None"/>
          <w:rFonts w:asciiTheme="minorHAnsi" w:eastAsia="Calibri" w:hAnsiTheme="minorHAnsi"/>
        </w:rPr>
        <w:t>small business to hire</w:t>
      </w:r>
      <w:r w:rsidR="00BF13A8" w:rsidRPr="0072219E">
        <w:rPr>
          <w:rStyle w:val="None"/>
          <w:rFonts w:asciiTheme="minorHAnsi" w:eastAsia="Calibri" w:hAnsiTheme="minorHAnsi"/>
        </w:rPr>
        <w:t xml:space="preserve"> new employees.  HIRE included two tax expenditures</w:t>
      </w:r>
      <w:r w:rsidRPr="0072219E">
        <w:rPr>
          <w:rStyle w:val="None"/>
          <w:rFonts w:asciiTheme="minorHAnsi" w:eastAsia="Calibri" w:hAnsiTheme="minorHAnsi"/>
        </w:rPr>
        <w:t xml:space="preserve"> of note: a payroll tax exemption to employers and a</w:t>
      </w:r>
      <w:r w:rsidR="00BF13A8" w:rsidRPr="0072219E">
        <w:rPr>
          <w:rStyle w:val="None"/>
          <w:rFonts w:asciiTheme="minorHAnsi" w:eastAsia="Calibri" w:hAnsiTheme="minorHAnsi"/>
        </w:rPr>
        <w:t xml:space="preserve"> one-thousand dollar tax </w:t>
      </w:r>
      <w:r w:rsidRPr="0072219E">
        <w:rPr>
          <w:rStyle w:val="None"/>
          <w:rFonts w:asciiTheme="minorHAnsi" w:eastAsia="Calibri" w:hAnsiTheme="minorHAnsi"/>
        </w:rPr>
        <w:t>credit for employers hiring employees between February of 2010 and January of 2011.</w:t>
      </w:r>
      <w:r w:rsidR="00BF13A8" w:rsidRPr="0072219E">
        <w:rPr>
          <w:rStyle w:val="FootnoteReference"/>
          <w:rFonts w:asciiTheme="minorHAnsi" w:eastAsia="Calibri" w:hAnsiTheme="minorHAnsi"/>
        </w:rPr>
        <w:footnoteReference w:id="1"/>
      </w:r>
      <w:r w:rsidRPr="0072219E">
        <w:rPr>
          <w:rStyle w:val="None"/>
          <w:rFonts w:asciiTheme="minorHAnsi" w:eastAsia="Calibri" w:hAnsiTheme="minorHAnsi"/>
        </w:rPr>
        <w:t xml:space="preserve">  FATCA was included in </w:t>
      </w:r>
      <w:r w:rsidR="00A615E0" w:rsidRPr="0072219E">
        <w:rPr>
          <w:rStyle w:val="None"/>
          <w:rFonts w:asciiTheme="minorHAnsi" w:eastAsia="Calibri" w:hAnsiTheme="minorHAnsi"/>
        </w:rPr>
        <w:t>HIRE</w:t>
      </w:r>
      <w:r w:rsidR="00BF13A8" w:rsidRPr="0072219E">
        <w:rPr>
          <w:rStyle w:val="None"/>
          <w:rFonts w:asciiTheme="minorHAnsi" w:eastAsia="Calibri" w:hAnsiTheme="minorHAnsi"/>
        </w:rPr>
        <w:t xml:space="preserve"> because</w:t>
      </w:r>
      <w:r w:rsidR="00A615E0" w:rsidRPr="0072219E">
        <w:rPr>
          <w:rStyle w:val="None"/>
          <w:rFonts w:asciiTheme="minorHAnsi" w:eastAsia="Calibri" w:hAnsiTheme="minorHAnsi"/>
        </w:rPr>
        <w:t xml:space="preserve"> </w:t>
      </w:r>
      <w:r w:rsidRPr="0072219E">
        <w:rPr>
          <w:rStyle w:val="None"/>
          <w:rFonts w:asciiTheme="minorHAnsi" w:eastAsia="Calibri" w:hAnsiTheme="minorHAnsi"/>
        </w:rPr>
        <w:t xml:space="preserve">the </w:t>
      </w:r>
      <w:r w:rsidRPr="0072219E">
        <w:rPr>
          <w:rStyle w:val="None"/>
          <w:rFonts w:asciiTheme="minorHAnsi" w:eastAsia="Calibri" w:hAnsiTheme="minorHAnsi"/>
          <w:i/>
        </w:rPr>
        <w:t>tax revenue</w:t>
      </w:r>
      <w:r w:rsidR="00A615E0" w:rsidRPr="0072219E">
        <w:rPr>
          <w:rStyle w:val="None"/>
          <w:rFonts w:asciiTheme="minorHAnsi" w:eastAsia="Calibri" w:hAnsiTheme="minorHAnsi"/>
        </w:rPr>
        <w:t xml:space="preserve"> collected from FATCA was supposed to offset the tax expenditures authorized by HIRE</w:t>
      </w:r>
      <w:r w:rsidRPr="0072219E">
        <w:rPr>
          <w:rStyle w:val="None"/>
          <w:rFonts w:asciiTheme="minorHAnsi" w:eastAsia="Calibri" w:hAnsiTheme="minorHAnsi"/>
        </w:rPr>
        <w:t>.</w:t>
      </w:r>
      <w:r w:rsidRPr="0072219E">
        <w:rPr>
          <w:rStyle w:val="FootnoteReference"/>
          <w:rFonts w:asciiTheme="minorHAnsi" w:eastAsia="Calibri" w:hAnsiTheme="minorHAnsi"/>
        </w:rPr>
        <w:footnoteReference w:id="2"/>
      </w:r>
      <w:r w:rsidR="00A615E0" w:rsidRPr="0072219E">
        <w:rPr>
          <w:rStyle w:val="None"/>
          <w:rFonts w:asciiTheme="minorHAnsi" w:eastAsia="Calibri" w:hAnsiTheme="minorHAnsi"/>
        </w:rPr>
        <w:t xml:space="preserve">  The </w:t>
      </w:r>
      <w:r w:rsidR="00A615E0" w:rsidRPr="0072219E">
        <w:rPr>
          <w:rStyle w:val="None"/>
          <w:rFonts w:asciiTheme="minorHAnsi" w:eastAsia="Calibri" w:hAnsiTheme="minorHAnsi"/>
          <w:i/>
        </w:rPr>
        <w:t xml:space="preserve">tax revenue </w:t>
      </w:r>
      <w:r w:rsidR="00A615E0" w:rsidRPr="0072219E">
        <w:rPr>
          <w:rStyle w:val="None"/>
          <w:rFonts w:asciiTheme="minorHAnsi" w:eastAsia="Calibri" w:hAnsiTheme="minorHAnsi"/>
        </w:rPr>
        <w:t xml:space="preserve">FATCA was said to be targeting was from U.S. persons with foreign bank </w:t>
      </w:r>
      <w:r w:rsidR="00085B83" w:rsidRPr="0072219E">
        <w:rPr>
          <w:rStyle w:val="None"/>
          <w:rFonts w:asciiTheme="minorHAnsi" w:eastAsia="Calibri" w:hAnsiTheme="minorHAnsi"/>
        </w:rPr>
        <w:t xml:space="preserve">accounts who were evading tax. </w:t>
      </w:r>
    </w:p>
    <w:p w:rsidR="00085B83" w:rsidRPr="0072219E" w:rsidRDefault="00085B83" w:rsidP="004E7B90">
      <w:pPr>
        <w:pStyle w:val="NoSpacing"/>
        <w:rPr>
          <w:rStyle w:val="None"/>
          <w:rFonts w:asciiTheme="minorHAnsi" w:hAnsiTheme="minorHAnsi"/>
        </w:rPr>
      </w:pPr>
    </w:p>
    <w:p w:rsidR="00E7439F" w:rsidRPr="0072219E" w:rsidRDefault="00B05C47" w:rsidP="004E7B90">
      <w:pPr>
        <w:pStyle w:val="NoSpacing"/>
        <w:rPr>
          <w:rStyle w:val="None"/>
          <w:rFonts w:asciiTheme="minorHAnsi" w:hAnsiTheme="minorHAnsi"/>
        </w:rPr>
      </w:pPr>
      <w:r w:rsidRPr="0072219E">
        <w:rPr>
          <w:rStyle w:val="None"/>
          <w:rFonts w:asciiTheme="minorHAnsi" w:hAnsiTheme="minorHAnsi"/>
        </w:rPr>
        <w:t xml:space="preserve">In July of </w:t>
      </w:r>
      <w:proofErr w:type="gramStart"/>
      <w:r w:rsidRPr="0072219E">
        <w:rPr>
          <w:rStyle w:val="None"/>
          <w:rFonts w:asciiTheme="minorHAnsi" w:hAnsiTheme="minorHAnsi"/>
        </w:rPr>
        <w:t>2008,</w:t>
      </w:r>
      <w:proofErr w:type="gramEnd"/>
      <w:r w:rsidRPr="0072219E">
        <w:rPr>
          <w:rStyle w:val="None"/>
          <w:rFonts w:asciiTheme="minorHAnsi" w:hAnsiTheme="minorHAnsi"/>
        </w:rPr>
        <w:t xml:space="preserve"> </w:t>
      </w:r>
      <w:r w:rsidR="000E1183" w:rsidRPr="0072219E">
        <w:rPr>
          <w:rStyle w:val="None"/>
          <w:rFonts w:asciiTheme="minorHAnsi" w:hAnsiTheme="minorHAnsi"/>
        </w:rPr>
        <w:t xml:space="preserve">and around the time of the UBS scandal and the Global Financial Crisis </w:t>
      </w:r>
      <w:r w:rsidRPr="0072219E">
        <w:rPr>
          <w:rStyle w:val="None"/>
          <w:rFonts w:asciiTheme="minorHAnsi" w:hAnsiTheme="minorHAnsi"/>
        </w:rPr>
        <w:t>the U.S. Senate Permanent Subcommittee on Investigations held a hearing and issued a report entitled “Tax Haven B</w:t>
      </w:r>
      <w:r w:rsidR="000E1183" w:rsidRPr="0072219E">
        <w:rPr>
          <w:rStyle w:val="None"/>
          <w:rFonts w:asciiTheme="minorHAnsi" w:hAnsiTheme="minorHAnsi"/>
        </w:rPr>
        <w:t>anks and U.S. Tax Compliance”.</w:t>
      </w:r>
      <w:r w:rsidRPr="0072219E">
        <w:rPr>
          <w:rStyle w:val="None"/>
          <w:rFonts w:asciiTheme="minorHAnsi" w:eastAsia="Baskerville" w:hAnsiTheme="minorHAnsi"/>
          <w:vertAlign w:val="superscript"/>
        </w:rPr>
        <w:footnoteReference w:id="3"/>
      </w:r>
      <w:r w:rsidR="000E1183" w:rsidRPr="0072219E">
        <w:rPr>
          <w:rStyle w:val="None"/>
          <w:rFonts w:asciiTheme="minorHAnsi" w:hAnsiTheme="minorHAnsi"/>
        </w:rPr>
        <w:t xml:space="preserve">  The </w:t>
      </w:r>
      <w:r w:rsidRPr="0072219E">
        <w:rPr>
          <w:rStyle w:val="None"/>
          <w:rFonts w:asciiTheme="minorHAnsi" w:hAnsiTheme="minorHAnsi"/>
        </w:rPr>
        <w:t>underlying justification for FATCA as a substa</w:t>
      </w:r>
      <w:r w:rsidR="0091670B" w:rsidRPr="0072219E">
        <w:rPr>
          <w:rStyle w:val="None"/>
          <w:rFonts w:asciiTheme="minorHAnsi" w:hAnsiTheme="minorHAnsi"/>
        </w:rPr>
        <w:t xml:space="preserve">ntial revenue raiser </w:t>
      </w:r>
      <w:r w:rsidRPr="0072219E">
        <w:rPr>
          <w:rStyle w:val="None"/>
          <w:rFonts w:asciiTheme="minorHAnsi" w:hAnsiTheme="minorHAnsi"/>
        </w:rPr>
        <w:t>reste</w:t>
      </w:r>
      <w:r w:rsidR="000E1183" w:rsidRPr="0072219E">
        <w:rPr>
          <w:rStyle w:val="None"/>
          <w:rFonts w:asciiTheme="minorHAnsi" w:hAnsiTheme="minorHAnsi"/>
        </w:rPr>
        <w:t xml:space="preserve">d on a single statement found in a </w:t>
      </w:r>
      <w:r w:rsidRPr="0072219E">
        <w:rPr>
          <w:rStyle w:val="None"/>
          <w:rFonts w:asciiTheme="minorHAnsi" w:hAnsiTheme="minorHAnsi"/>
        </w:rPr>
        <w:t xml:space="preserve">footnote in </w:t>
      </w:r>
      <w:r w:rsidR="0091670B" w:rsidRPr="0072219E">
        <w:rPr>
          <w:rStyle w:val="None"/>
          <w:rFonts w:asciiTheme="minorHAnsi" w:hAnsiTheme="minorHAnsi"/>
        </w:rPr>
        <w:t>the 2008 hearing report</w:t>
      </w:r>
      <w:r w:rsidRPr="0072219E">
        <w:rPr>
          <w:rStyle w:val="None"/>
          <w:rFonts w:asciiTheme="minorHAnsi" w:hAnsiTheme="minorHAnsi"/>
        </w:rPr>
        <w:t xml:space="preserve">:  </w:t>
      </w:r>
      <w:r w:rsidR="000E1183" w:rsidRPr="0072219E">
        <w:rPr>
          <w:rStyle w:val="None"/>
          <w:rFonts w:asciiTheme="minorHAnsi" w:hAnsiTheme="minorHAnsi"/>
        </w:rPr>
        <w:t>“[e]</w:t>
      </w:r>
      <w:r w:rsidRPr="0072219E">
        <w:rPr>
          <w:rStyle w:val="None"/>
          <w:rFonts w:asciiTheme="minorHAnsi" w:hAnsiTheme="minorHAnsi"/>
        </w:rPr>
        <w:t xml:space="preserve">ach year, the United </w:t>
      </w:r>
      <w:r w:rsidR="00437F8F" w:rsidRPr="0072219E">
        <w:rPr>
          <w:rStyle w:val="None"/>
          <w:rFonts w:asciiTheme="minorHAnsi" w:hAnsiTheme="minorHAnsi"/>
        </w:rPr>
        <w:t>States loses an estimated $100B</w:t>
      </w:r>
      <w:r w:rsidR="000E1183" w:rsidRPr="0072219E">
        <w:rPr>
          <w:rStyle w:val="None"/>
          <w:rFonts w:asciiTheme="minorHAnsi" w:hAnsiTheme="minorHAnsi"/>
        </w:rPr>
        <w:t xml:space="preserve"> in tax revenue</w:t>
      </w:r>
      <w:r w:rsidRPr="0072219E">
        <w:rPr>
          <w:rStyle w:val="None"/>
          <w:rFonts w:asciiTheme="minorHAnsi" w:hAnsiTheme="minorHAnsi"/>
        </w:rPr>
        <w:t xml:space="preserve"> due to offshore tax abuses.</w:t>
      </w:r>
      <w:r w:rsidR="000E1183" w:rsidRPr="0072219E">
        <w:rPr>
          <w:rStyle w:val="None"/>
          <w:rFonts w:asciiTheme="minorHAnsi" w:hAnsiTheme="minorHAnsi"/>
        </w:rPr>
        <w:t>”</w:t>
      </w:r>
      <w:r w:rsidR="000E1183" w:rsidRPr="0072219E">
        <w:rPr>
          <w:rStyle w:val="FootnoteReference"/>
          <w:rFonts w:asciiTheme="minorHAnsi" w:hAnsiTheme="minorHAnsi"/>
        </w:rPr>
        <w:footnoteReference w:id="4"/>
      </w:r>
      <w:r w:rsidRPr="0072219E">
        <w:rPr>
          <w:rStyle w:val="None"/>
          <w:rFonts w:asciiTheme="minorHAnsi" w:hAnsiTheme="minorHAnsi"/>
        </w:rPr>
        <w:t xml:space="preserve"> </w:t>
      </w:r>
      <w:r w:rsidR="000E1183" w:rsidRPr="0072219E">
        <w:rPr>
          <w:rStyle w:val="None"/>
          <w:rFonts w:asciiTheme="minorHAnsi" w:hAnsiTheme="minorHAnsi"/>
        </w:rPr>
        <w:t xml:space="preserve"> </w:t>
      </w:r>
      <w:r w:rsidRPr="0072219E">
        <w:rPr>
          <w:rStyle w:val="None"/>
          <w:rFonts w:asciiTheme="minorHAnsi" w:hAnsiTheme="minorHAnsi"/>
        </w:rPr>
        <w:t>In a 2009 follow-up report, the Ways and Means’ Subcommittee on Select Revenue Measures held a hearing entitled:  Banking Secrecy Practices and Wealthy Americans.  D</w:t>
      </w:r>
      <w:r w:rsidR="00334B04" w:rsidRPr="0072219E">
        <w:rPr>
          <w:rStyle w:val="None"/>
          <w:rFonts w:asciiTheme="minorHAnsi" w:hAnsiTheme="minorHAnsi"/>
        </w:rPr>
        <w:t>uring this hearing, the Senate increased</w:t>
      </w:r>
      <w:r w:rsidRPr="0072219E">
        <w:rPr>
          <w:rStyle w:val="None"/>
          <w:rFonts w:asciiTheme="minorHAnsi" w:hAnsiTheme="minorHAnsi"/>
        </w:rPr>
        <w:t xml:space="preserve"> the U.S. tax revenue loss</w:t>
      </w:r>
      <w:r w:rsidR="00334B04" w:rsidRPr="0072219E">
        <w:rPr>
          <w:rStyle w:val="None"/>
          <w:rFonts w:asciiTheme="minorHAnsi" w:hAnsiTheme="minorHAnsi"/>
        </w:rPr>
        <w:t>-estimate</w:t>
      </w:r>
      <w:r w:rsidRPr="0072219E">
        <w:rPr>
          <w:rStyle w:val="None"/>
          <w:rFonts w:asciiTheme="minorHAnsi" w:hAnsiTheme="minorHAnsi"/>
        </w:rPr>
        <w:t xml:space="preserve"> by 50 percent stating: “Contrib</w:t>
      </w:r>
      <w:r w:rsidR="00461385" w:rsidRPr="0072219E">
        <w:rPr>
          <w:rStyle w:val="None"/>
          <w:rFonts w:asciiTheme="minorHAnsi" w:hAnsiTheme="minorHAnsi"/>
        </w:rPr>
        <w:t>uting to the</w:t>
      </w:r>
      <w:r w:rsidRPr="0072219E">
        <w:rPr>
          <w:rStyle w:val="None"/>
          <w:rFonts w:asciiTheme="minorHAnsi" w:hAnsiTheme="minorHAnsi"/>
        </w:rPr>
        <w:t xml:space="preserve"> annual tax gap are o</w:t>
      </w:r>
      <w:r w:rsidR="00A8038B" w:rsidRPr="0072219E">
        <w:rPr>
          <w:rStyle w:val="None"/>
          <w:rFonts w:asciiTheme="minorHAnsi" w:hAnsiTheme="minorHAnsi"/>
        </w:rPr>
        <w:t xml:space="preserve">ffshore tax schemes responsible </w:t>
      </w:r>
      <w:r w:rsidRPr="0072219E">
        <w:rPr>
          <w:rStyle w:val="None"/>
          <w:rFonts w:asciiTheme="minorHAnsi" w:hAnsiTheme="minorHAnsi"/>
        </w:rPr>
        <w:t xml:space="preserve">for </w:t>
      </w:r>
      <w:r w:rsidRPr="0072219E">
        <w:rPr>
          <w:rStyle w:val="None"/>
          <w:rFonts w:asciiTheme="minorHAnsi" w:hAnsiTheme="minorHAnsi"/>
          <w:i/>
          <w:u w:val="single"/>
        </w:rPr>
        <w:t>lost tax reven</w:t>
      </w:r>
      <w:r w:rsidR="00437F8F" w:rsidRPr="0072219E">
        <w:rPr>
          <w:rStyle w:val="None"/>
          <w:rFonts w:asciiTheme="minorHAnsi" w:hAnsiTheme="minorHAnsi"/>
          <w:i/>
          <w:u w:val="single"/>
        </w:rPr>
        <w:t>ues totaling an estimated $150B</w:t>
      </w:r>
      <w:r w:rsidRPr="0072219E">
        <w:rPr>
          <w:rStyle w:val="None"/>
          <w:rFonts w:asciiTheme="minorHAnsi" w:hAnsiTheme="minorHAnsi"/>
          <w:i/>
          <w:u w:val="single"/>
        </w:rPr>
        <w:t xml:space="preserve"> each year</w:t>
      </w:r>
      <w:r w:rsidRPr="0072219E">
        <w:rPr>
          <w:rStyle w:val="None"/>
          <w:rFonts w:asciiTheme="minorHAnsi" w:hAnsiTheme="minorHAnsi"/>
        </w:rPr>
        <w:t>.”</w:t>
      </w:r>
      <w:r w:rsidRPr="0072219E">
        <w:rPr>
          <w:rStyle w:val="None"/>
          <w:rFonts w:asciiTheme="minorHAnsi" w:eastAsia="Baskerville" w:hAnsiTheme="minorHAnsi"/>
          <w:vertAlign w:val="superscript"/>
        </w:rPr>
        <w:footnoteReference w:id="5"/>
      </w:r>
      <w:r w:rsidR="00E7439F" w:rsidRPr="0072219E">
        <w:rPr>
          <w:rStyle w:val="None"/>
          <w:rFonts w:asciiTheme="minorHAnsi" w:hAnsiTheme="minorHAnsi"/>
        </w:rPr>
        <w:t xml:space="preserve">  </w:t>
      </w:r>
      <w:r w:rsidR="00085B83" w:rsidRPr="0072219E">
        <w:rPr>
          <w:rStyle w:val="None"/>
          <w:rFonts w:asciiTheme="minorHAnsi" w:hAnsiTheme="minorHAnsi"/>
        </w:rPr>
        <w:t xml:space="preserve">The estimates entered into the record </w:t>
      </w:r>
      <w:r w:rsidR="00085B83" w:rsidRPr="0072219E">
        <w:rPr>
          <w:rStyle w:val="None"/>
          <w:rFonts w:asciiTheme="minorHAnsi" w:hAnsiTheme="minorHAnsi"/>
        </w:rPr>
        <w:lastRenderedPageBreak/>
        <w:t xml:space="preserve">during these hearings measured the offshore tax gap, or the amount of </w:t>
      </w:r>
      <w:r w:rsidR="00085B83" w:rsidRPr="0072219E">
        <w:rPr>
          <w:rStyle w:val="None"/>
          <w:rFonts w:asciiTheme="minorHAnsi" w:hAnsiTheme="minorHAnsi"/>
          <w:i/>
        </w:rPr>
        <w:t>tax revenue</w:t>
      </w:r>
      <w:r w:rsidR="00085B83" w:rsidRPr="0072219E">
        <w:rPr>
          <w:rStyle w:val="FootnoteReference"/>
          <w:rFonts w:asciiTheme="minorHAnsi" w:hAnsiTheme="minorHAnsi"/>
          <w:i/>
        </w:rPr>
        <w:footnoteReference w:id="6"/>
      </w:r>
      <w:r w:rsidR="00085B83" w:rsidRPr="0072219E">
        <w:rPr>
          <w:rStyle w:val="None"/>
          <w:rFonts w:asciiTheme="minorHAnsi" w:hAnsiTheme="minorHAnsi"/>
          <w:i/>
        </w:rPr>
        <w:t xml:space="preserve"> </w:t>
      </w:r>
      <w:r w:rsidR="00085B83" w:rsidRPr="0072219E">
        <w:rPr>
          <w:rStyle w:val="None"/>
          <w:rFonts w:asciiTheme="minorHAnsi" w:hAnsiTheme="minorHAnsi"/>
        </w:rPr>
        <w:t>that would be collected if offshore tax evasion by U.S. persons holding foreign bank accounts was ended.  One month, before HIRE was signed into law by President Obama, new evidence revea</w:t>
      </w:r>
      <w:r w:rsidR="00AF5F21" w:rsidRPr="0072219E">
        <w:rPr>
          <w:rStyle w:val="None"/>
          <w:rFonts w:asciiTheme="minorHAnsi" w:hAnsiTheme="minorHAnsi"/>
        </w:rPr>
        <w:t xml:space="preserve">led the offshore tax gap </w:t>
      </w:r>
      <w:r w:rsidR="00085B83" w:rsidRPr="0072219E">
        <w:rPr>
          <w:rStyle w:val="None"/>
          <w:rFonts w:asciiTheme="minorHAnsi" w:hAnsiTheme="minorHAnsi"/>
        </w:rPr>
        <w:t>was nowhere near as large as previously thought.</w:t>
      </w:r>
    </w:p>
    <w:p w:rsidR="00E7439F" w:rsidRPr="0072219E" w:rsidRDefault="00E7439F" w:rsidP="00461385">
      <w:pPr>
        <w:pStyle w:val="NoSpacing"/>
        <w:rPr>
          <w:rStyle w:val="None"/>
          <w:rFonts w:asciiTheme="minorHAnsi" w:hAnsiTheme="minorHAnsi"/>
        </w:rPr>
      </w:pPr>
    </w:p>
    <w:p w:rsidR="004E7B90" w:rsidRPr="0072219E" w:rsidRDefault="000E1183" w:rsidP="002A78A2">
      <w:pPr>
        <w:pStyle w:val="NoSpacing"/>
        <w:rPr>
          <w:rStyle w:val="None"/>
          <w:rFonts w:asciiTheme="minorHAnsi" w:hAnsiTheme="minorHAnsi"/>
        </w:rPr>
      </w:pPr>
      <w:r w:rsidRPr="0072219E">
        <w:rPr>
          <w:rFonts w:asciiTheme="minorHAnsi" w:hAnsiTheme="minorHAnsi"/>
          <w:color w:val="000000"/>
          <w:shd w:val="clear" w:color="auto" w:fill="FFFFFF"/>
        </w:rPr>
        <w:t xml:space="preserve">On </w:t>
      </w:r>
      <w:r w:rsidR="00B05C47" w:rsidRPr="0072219E">
        <w:rPr>
          <w:rStyle w:val="None"/>
          <w:rFonts w:asciiTheme="minorHAnsi" w:hAnsiTheme="minorHAnsi"/>
        </w:rPr>
        <w:t xml:space="preserve">February 23, 2010, the </w:t>
      </w:r>
      <w:r w:rsidRPr="0072219E">
        <w:rPr>
          <w:rStyle w:val="None"/>
          <w:rFonts w:asciiTheme="minorHAnsi" w:hAnsiTheme="minorHAnsi"/>
        </w:rPr>
        <w:t xml:space="preserve">JCT </w:t>
      </w:r>
      <w:r w:rsidR="00B05C47" w:rsidRPr="0072219E">
        <w:rPr>
          <w:rStyle w:val="None"/>
          <w:rFonts w:asciiTheme="minorHAnsi" w:hAnsiTheme="minorHAnsi"/>
        </w:rPr>
        <w:t xml:space="preserve">released a report estimating </w:t>
      </w:r>
      <w:r w:rsidR="00A8038B" w:rsidRPr="0072219E">
        <w:rPr>
          <w:rStyle w:val="None"/>
          <w:rFonts w:asciiTheme="minorHAnsi" w:hAnsiTheme="minorHAnsi"/>
        </w:rPr>
        <w:t xml:space="preserve">that FATCA would instead, only collect </w:t>
      </w:r>
      <w:r w:rsidRPr="0072219E">
        <w:rPr>
          <w:rStyle w:val="None"/>
          <w:rFonts w:asciiTheme="minorHAnsi" w:hAnsiTheme="minorHAnsi"/>
        </w:rPr>
        <w:t>$8.7B</w:t>
      </w:r>
      <w:r w:rsidR="00437F8F" w:rsidRPr="0072219E">
        <w:rPr>
          <w:rStyle w:val="None"/>
          <w:rFonts w:asciiTheme="minorHAnsi" w:hAnsiTheme="minorHAnsi"/>
        </w:rPr>
        <w:t xml:space="preserve"> over ten-years or $870M</w:t>
      </w:r>
      <w:r w:rsidR="00B05C47" w:rsidRPr="0072219E">
        <w:rPr>
          <w:rStyle w:val="None"/>
          <w:rFonts w:asciiTheme="minorHAnsi" w:hAnsiTheme="minorHAnsi"/>
        </w:rPr>
        <w:t xml:space="preserve"> per year</w:t>
      </w:r>
      <w:r w:rsidRPr="0072219E">
        <w:rPr>
          <w:rStyle w:val="None"/>
          <w:rFonts w:asciiTheme="minorHAnsi" w:hAnsiTheme="minorHAnsi"/>
        </w:rPr>
        <w:t xml:space="preserve">; a huge difference from last-year’s estimate of </w:t>
      </w:r>
      <w:r w:rsidR="00334B04" w:rsidRPr="0072219E">
        <w:rPr>
          <w:rStyle w:val="None"/>
          <w:rFonts w:asciiTheme="minorHAnsi" w:hAnsiTheme="minorHAnsi"/>
        </w:rPr>
        <w:t>$</w:t>
      </w:r>
      <w:r w:rsidRPr="0072219E">
        <w:rPr>
          <w:rStyle w:val="None"/>
          <w:rFonts w:asciiTheme="minorHAnsi" w:hAnsiTheme="minorHAnsi"/>
        </w:rPr>
        <w:t>150B per year</w:t>
      </w:r>
      <w:r w:rsidR="00A8038B" w:rsidRPr="0072219E">
        <w:rPr>
          <w:rStyle w:val="None"/>
          <w:rFonts w:asciiTheme="minorHAnsi" w:hAnsiTheme="minorHAnsi"/>
        </w:rPr>
        <w:t>.</w:t>
      </w:r>
      <w:r w:rsidR="00B05C47" w:rsidRPr="0072219E">
        <w:rPr>
          <w:rStyle w:val="None"/>
          <w:rFonts w:asciiTheme="minorHAnsi" w:eastAsia="Baskerville" w:hAnsiTheme="minorHAnsi"/>
          <w:vertAlign w:val="superscript"/>
        </w:rPr>
        <w:footnoteReference w:id="7"/>
      </w:r>
      <w:r w:rsidR="00A8038B" w:rsidRPr="0072219E">
        <w:rPr>
          <w:rStyle w:val="None"/>
          <w:rFonts w:asciiTheme="minorHAnsi" w:hAnsiTheme="minorHAnsi"/>
        </w:rPr>
        <w:t xml:space="preserve">  A</w:t>
      </w:r>
      <w:r w:rsidR="007942D4" w:rsidRPr="0072219E">
        <w:rPr>
          <w:rStyle w:val="None"/>
          <w:rFonts w:asciiTheme="minorHAnsi" w:hAnsiTheme="minorHAnsi"/>
        </w:rPr>
        <w:t xml:space="preserve">ssuming this </w:t>
      </w:r>
      <w:r w:rsidRPr="0072219E">
        <w:rPr>
          <w:rStyle w:val="None"/>
          <w:rFonts w:asciiTheme="minorHAnsi" w:hAnsiTheme="minorHAnsi"/>
        </w:rPr>
        <w:t xml:space="preserve">latest estimate was </w:t>
      </w:r>
      <w:r w:rsidR="00A8038B" w:rsidRPr="0072219E">
        <w:rPr>
          <w:rStyle w:val="None"/>
          <w:rFonts w:asciiTheme="minorHAnsi" w:hAnsiTheme="minorHAnsi"/>
        </w:rPr>
        <w:t>accurate, the</w:t>
      </w:r>
      <w:r w:rsidR="009F0312" w:rsidRPr="0072219E">
        <w:rPr>
          <w:rStyle w:val="None"/>
          <w:rFonts w:asciiTheme="minorHAnsi" w:hAnsiTheme="minorHAnsi"/>
        </w:rPr>
        <w:t xml:space="preserve"> 2008</w:t>
      </w:r>
      <w:r w:rsidR="00A8038B" w:rsidRPr="0072219E">
        <w:rPr>
          <w:rStyle w:val="None"/>
          <w:rFonts w:asciiTheme="minorHAnsi" w:hAnsiTheme="minorHAnsi"/>
        </w:rPr>
        <w:t xml:space="preserve"> and 2009 estimates were drastically ov</w:t>
      </w:r>
      <w:r w:rsidR="007942D4" w:rsidRPr="0072219E">
        <w:rPr>
          <w:rStyle w:val="None"/>
          <w:rFonts w:asciiTheme="minorHAnsi" w:hAnsiTheme="minorHAnsi"/>
        </w:rPr>
        <w:t>erinfla</w:t>
      </w:r>
      <w:r w:rsidR="00F178D7" w:rsidRPr="0072219E">
        <w:rPr>
          <w:rStyle w:val="None"/>
          <w:rFonts w:asciiTheme="minorHAnsi" w:hAnsiTheme="minorHAnsi"/>
        </w:rPr>
        <w:t>ted – to the tune of over $149B</w:t>
      </w:r>
      <w:r w:rsidR="007942D4" w:rsidRPr="0072219E">
        <w:rPr>
          <w:rStyle w:val="None"/>
          <w:rFonts w:asciiTheme="minorHAnsi" w:hAnsiTheme="minorHAnsi"/>
        </w:rPr>
        <w:t xml:space="preserve"> annually!  At that poi</w:t>
      </w:r>
      <w:r w:rsidR="00DD15F9" w:rsidRPr="0072219E">
        <w:rPr>
          <w:rStyle w:val="None"/>
          <w:rFonts w:asciiTheme="minorHAnsi" w:hAnsiTheme="minorHAnsi"/>
        </w:rPr>
        <w:t>nt, a reasonable person puts on the breaks and asks</w:t>
      </w:r>
      <w:r w:rsidR="007942D4" w:rsidRPr="0072219E">
        <w:rPr>
          <w:rStyle w:val="None"/>
          <w:rFonts w:asciiTheme="minorHAnsi" w:hAnsiTheme="minorHAnsi"/>
        </w:rPr>
        <w:t xml:space="preserve"> qu</w:t>
      </w:r>
      <w:r w:rsidR="00BA158D" w:rsidRPr="0072219E">
        <w:rPr>
          <w:rStyle w:val="None"/>
          <w:rFonts w:asciiTheme="minorHAnsi" w:hAnsiTheme="minorHAnsi"/>
        </w:rPr>
        <w:t>estions</w:t>
      </w:r>
      <w:r w:rsidR="00FB6089" w:rsidRPr="0072219E">
        <w:rPr>
          <w:rStyle w:val="None"/>
          <w:rFonts w:asciiTheme="minorHAnsi" w:hAnsiTheme="minorHAnsi"/>
        </w:rPr>
        <w:t xml:space="preserve">.  </w:t>
      </w:r>
      <w:r w:rsidR="007942D4" w:rsidRPr="0072219E">
        <w:rPr>
          <w:rStyle w:val="None"/>
          <w:rFonts w:asciiTheme="minorHAnsi" w:hAnsiTheme="minorHAnsi"/>
        </w:rPr>
        <w:t xml:space="preserve">At the very least Congress </w:t>
      </w:r>
      <w:r w:rsidR="00DD15F9" w:rsidRPr="0072219E">
        <w:rPr>
          <w:rStyle w:val="None"/>
          <w:rFonts w:asciiTheme="minorHAnsi" w:hAnsiTheme="minorHAnsi"/>
        </w:rPr>
        <w:t xml:space="preserve">should have engaged in some due </w:t>
      </w:r>
      <w:r w:rsidR="007942D4" w:rsidRPr="0072219E">
        <w:rPr>
          <w:rStyle w:val="None"/>
          <w:rFonts w:asciiTheme="minorHAnsi" w:hAnsiTheme="minorHAnsi"/>
        </w:rPr>
        <w:t>diligence to determine why</w:t>
      </w:r>
      <w:r w:rsidR="007942D4" w:rsidRPr="0072219E">
        <w:rPr>
          <w:rStyle w:val="None"/>
          <w:rFonts w:asciiTheme="minorHAnsi" w:hAnsiTheme="minorHAnsi"/>
          <w:i/>
        </w:rPr>
        <w:t xml:space="preserve"> </w:t>
      </w:r>
      <w:r w:rsidR="007942D4" w:rsidRPr="0072219E">
        <w:rPr>
          <w:rStyle w:val="None"/>
          <w:rFonts w:asciiTheme="minorHAnsi" w:hAnsiTheme="minorHAnsi"/>
        </w:rPr>
        <w:t>there was such a huge discrep</w:t>
      </w:r>
      <w:r w:rsidRPr="0072219E">
        <w:rPr>
          <w:rStyle w:val="None"/>
          <w:rFonts w:asciiTheme="minorHAnsi" w:hAnsiTheme="minorHAnsi"/>
        </w:rPr>
        <w:t>ancy</w:t>
      </w:r>
      <w:r w:rsidR="00DD15F9" w:rsidRPr="0072219E">
        <w:rPr>
          <w:rStyle w:val="None"/>
          <w:rFonts w:asciiTheme="minorHAnsi" w:hAnsiTheme="minorHAnsi"/>
        </w:rPr>
        <w:t xml:space="preserve">.  After all, </w:t>
      </w:r>
      <w:r w:rsidRPr="0072219E">
        <w:rPr>
          <w:rStyle w:val="None"/>
          <w:rFonts w:asciiTheme="minorHAnsi" w:hAnsiTheme="minorHAnsi"/>
        </w:rPr>
        <w:t>there was plenty of tim</w:t>
      </w:r>
      <w:r w:rsidR="00DD15F9" w:rsidRPr="0072219E">
        <w:rPr>
          <w:rStyle w:val="None"/>
          <w:rFonts w:asciiTheme="minorHAnsi" w:hAnsiTheme="minorHAnsi"/>
        </w:rPr>
        <w:t xml:space="preserve">e remaining </w:t>
      </w:r>
      <w:r w:rsidRPr="0072219E">
        <w:rPr>
          <w:rStyle w:val="None"/>
          <w:rFonts w:asciiTheme="minorHAnsi" w:hAnsiTheme="minorHAnsi"/>
        </w:rPr>
        <w:t>on the legisl</w:t>
      </w:r>
      <w:r w:rsidR="00DD15F9" w:rsidRPr="0072219E">
        <w:rPr>
          <w:rStyle w:val="None"/>
          <w:rFonts w:asciiTheme="minorHAnsi" w:hAnsiTheme="minorHAnsi"/>
        </w:rPr>
        <w:t>ative clock</w:t>
      </w:r>
      <w:r w:rsidR="00FB6089" w:rsidRPr="0072219E">
        <w:rPr>
          <w:rStyle w:val="None"/>
          <w:rFonts w:asciiTheme="minorHAnsi" w:hAnsiTheme="minorHAnsi"/>
        </w:rPr>
        <w:t>,</w:t>
      </w:r>
      <w:r w:rsidR="00BF13A8" w:rsidRPr="0072219E">
        <w:rPr>
          <w:rStyle w:val="FootnoteReference"/>
          <w:rFonts w:asciiTheme="minorHAnsi" w:hAnsiTheme="minorHAnsi"/>
        </w:rPr>
        <w:footnoteReference w:id="8"/>
      </w:r>
      <w:r w:rsidR="00FB6089" w:rsidRPr="0072219E">
        <w:rPr>
          <w:rStyle w:val="None"/>
          <w:rFonts w:asciiTheme="minorHAnsi" w:hAnsiTheme="minorHAnsi"/>
        </w:rPr>
        <w:t xml:space="preserve"> and the report invalidated the policy justification for FATCA.  I</w:t>
      </w:r>
      <w:r w:rsidR="00727E5C" w:rsidRPr="0072219E">
        <w:rPr>
          <w:rStyle w:val="None"/>
          <w:rFonts w:asciiTheme="minorHAnsi" w:hAnsiTheme="minorHAnsi"/>
        </w:rPr>
        <w:t xml:space="preserve">nstead, </w:t>
      </w:r>
      <w:r w:rsidR="009F0312" w:rsidRPr="0072219E">
        <w:rPr>
          <w:rStyle w:val="None"/>
          <w:rFonts w:asciiTheme="minorHAnsi" w:hAnsiTheme="minorHAnsi"/>
        </w:rPr>
        <w:t>Congre</w:t>
      </w:r>
      <w:r w:rsidR="005F60FD" w:rsidRPr="0072219E">
        <w:rPr>
          <w:rStyle w:val="None"/>
          <w:rFonts w:asciiTheme="minorHAnsi" w:hAnsiTheme="minorHAnsi"/>
        </w:rPr>
        <w:t>ss and President Obama steamrolled FATCA into law</w:t>
      </w:r>
      <w:r w:rsidR="00727E5C" w:rsidRPr="0072219E">
        <w:rPr>
          <w:rStyle w:val="None"/>
          <w:rFonts w:asciiTheme="minorHAnsi" w:hAnsiTheme="minorHAnsi"/>
        </w:rPr>
        <w:t xml:space="preserve"> in less-tha</w:t>
      </w:r>
      <w:r w:rsidRPr="0072219E">
        <w:rPr>
          <w:rStyle w:val="None"/>
          <w:rFonts w:asciiTheme="minorHAnsi" w:hAnsiTheme="minorHAnsi"/>
        </w:rPr>
        <w:t xml:space="preserve">n a month after the </w:t>
      </w:r>
      <w:r w:rsidR="00727E5C" w:rsidRPr="0072219E">
        <w:rPr>
          <w:rStyle w:val="None"/>
          <w:rFonts w:asciiTheme="minorHAnsi" w:hAnsiTheme="minorHAnsi"/>
        </w:rPr>
        <w:t>JCT estimate – almost like, they wanted to hurry to get it</w:t>
      </w:r>
      <w:r w:rsidRPr="0072219E">
        <w:rPr>
          <w:rStyle w:val="None"/>
          <w:rFonts w:asciiTheme="minorHAnsi" w:hAnsiTheme="minorHAnsi"/>
        </w:rPr>
        <w:t xml:space="preserve"> in, before someone caught wind that the FATCA had nothing to do with closing the fictitious $150B offshore tax g</w:t>
      </w:r>
      <w:r w:rsidR="005D0E1D" w:rsidRPr="0072219E">
        <w:rPr>
          <w:rStyle w:val="None"/>
          <w:rFonts w:asciiTheme="minorHAnsi" w:hAnsiTheme="minorHAnsi"/>
        </w:rPr>
        <w:t xml:space="preserve">ap, because there was very little </w:t>
      </w:r>
      <w:r w:rsidRPr="0072219E">
        <w:rPr>
          <w:rStyle w:val="None"/>
          <w:rFonts w:asciiTheme="minorHAnsi" w:hAnsiTheme="minorHAnsi"/>
        </w:rPr>
        <w:t>tax revenue outstanding.</w:t>
      </w:r>
    </w:p>
    <w:p w:rsidR="00E26E96" w:rsidRPr="0072219E" w:rsidRDefault="00E26E96" w:rsidP="002A78A2">
      <w:pPr>
        <w:pStyle w:val="NoSpacing"/>
        <w:rPr>
          <w:rStyle w:val="None"/>
          <w:rFonts w:asciiTheme="minorHAnsi" w:hAnsiTheme="minorHAnsi"/>
        </w:rPr>
      </w:pPr>
    </w:p>
    <w:p w:rsidR="00986660" w:rsidRPr="0072219E" w:rsidRDefault="00986660" w:rsidP="005967DB">
      <w:pPr>
        <w:pStyle w:val="NoSpacing"/>
        <w:rPr>
          <w:rStyle w:val="None"/>
          <w:rFonts w:asciiTheme="minorHAnsi" w:hAnsiTheme="minorHAnsi"/>
        </w:rPr>
      </w:pPr>
    </w:p>
    <w:p w:rsidR="00986660" w:rsidRPr="0072219E" w:rsidRDefault="00986660" w:rsidP="005967DB">
      <w:pPr>
        <w:pStyle w:val="NoSpacing"/>
        <w:rPr>
          <w:rStyle w:val="None"/>
          <w:rFonts w:asciiTheme="minorHAnsi" w:hAnsiTheme="minorHAnsi"/>
        </w:rPr>
      </w:pPr>
    </w:p>
    <w:p w:rsidR="000E1183" w:rsidRDefault="000E1183" w:rsidP="005420C7">
      <w:pPr>
        <w:pStyle w:val="NoSpacing"/>
        <w:rPr>
          <w:rFonts w:asciiTheme="minorHAnsi" w:hAnsiTheme="minorHAnsi"/>
          <w:i/>
          <w:iCs/>
          <w:caps/>
          <w:color w:val="727272"/>
          <w:shd w:val="clear" w:color="auto" w:fill="FFFFFF"/>
        </w:rPr>
      </w:pPr>
      <w:bookmarkStart w:id="0" w:name="_GoBack"/>
      <w:bookmarkEnd w:id="0"/>
    </w:p>
    <w:p w:rsidR="00385A9D" w:rsidRDefault="00385A9D" w:rsidP="005420C7">
      <w:pPr>
        <w:pStyle w:val="NoSpacing"/>
        <w:rPr>
          <w:rFonts w:asciiTheme="minorHAnsi" w:hAnsiTheme="minorHAnsi"/>
          <w:i/>
          <w:iCs/>
          <w:caps/>
          <w:color w:val="727272"/>
          <w:shd w:val="clear" w:color="auto" w:fill="FFFFFF"/>
        </w:rPr>
      </w:pPr>
    </w:p>
    <w:p w:rsidR="00385A9D" w:rsidRDefault="00385A9D" w:rsidP="005420C7">
      <w:pPr>
        <w:pStyle w:val="NoSpacing"/>
        <w:rPr>
          <w:rFonts w:asciiTheme="minorHAnsi" w:hAnsiTheme="minorHAnsi"/>
          <w:i/>
          <w:iCs/>
          <w:caps/>
          <w:color w:val="727272"/>
          <w:shd w:val="clear" w:color="auto" w:fill="FFFFFF"/>
        </w:rPr>
      </w:pPr>
    </w:p>
    <w:p w:rsidR="00385A9D" w:rsidRDefault="00385A9D" w:rsidP="005420C7">
      <w:pPr>
        <w:pStyle w:val="NoSpacing"/>
        <w:rPr>
          <w:rFonts w:asciiTheme="minorHAnsi" w:hAnsiTheme="minorHAnsi"/>
          <w:i/>
          <w:iCs/>
          <w:caps/>
          <w:color w:val="727272"/>
          <w:shd w:val="clear" w:color="auto" w:fill="FFFFFF"/>
        </w:rPr>
      </w:pPr>
    </w:p>
    <w:p w:rsidR="00385A9D" w:rsidRDefault="00385A9D" w:rsidP="005420C7">
      <w:pPr>
        <w:pStyle w:val="NoSpacing"/>
        <w:rPr>
          <w:rFonts w:asciiTheme="minorHAnsi" w:hAnsiTheme="minorHAnsi"/>
          <w:i/>
          <w:iCs/>
          <w:caps/>
          <w:color w:val="727272"/>
          <w:shd w:val="clear" w:color="auto" w:fill="FFFFFF"/>
        </w:rPr>
      </w:pPr>
    </w:p>
    <w:p w:rsidR="00385A9D" w:rsidRPr="0072219E" w:rsidRDefault="00385A9D" w:rsidP="005420C7">
      <w:pPr>
        <w:pStyle w:val="NoSpacing"/>
        <w:rPr>
          <w:rFonts w:asciiTheme="minorHAnsi" w:hAnsiTheme="minorHAnsi"/>
          <w:i/>
          <w:iCs/>
          <w:caps/>
          <w:color w:val="727272"/>
          <w:shd w:val="clear" w:color="auto" w:fill="FFFFFF"/>
        </w:rPr>
      </w:pPr>
    </w:p>
    <w:p w:rsidR="000E1183" w:rsidRPr="0072219E" w:rsidRDefault="000E1183" w:rsidP="005420C7">
      <w:pPr>
        <w:pStyle w:val="NoSpacing"/>
        <w:rPr>
          <w:rFonts w:asciiTheme="minorHAnsi" w:hAnsiTheme="minorHAnsi"/>
          <w:i/>
          <w:iCs/>
          <w:caps/>
          <w:color w:val="727272"/>
          <w:shd w:val="clear" w:color="auto" w:fill="FFFFFF"/>
        </w:rPr>
      </w:pPr>
    </w:p>
    <w:p w:rsidR="008E440C" w:rsidRPr="0072219E" w:rsidRDefault="004E7B90" w:rsidP="005420C7">
      <w:pPr>
        <w:pStyle w:val="NoSpacing"/>
        <w:rPr>
          <w:rFonts w:asciiTheme="minorHAnsi" w:hAnsiTheme="minorHAnsi"/>
        </w:rPr>
      </w:pPr>
      <w:r w:rsidRPr="0072219E">
        <w:rPr>
          <w:rFonts w:asciiTheme="minorHAnsi" w:hAnsiTheme="minorHAnsi"/>
          <w:i/>
          <w:iCs/>
          <w:caps/>
          <w:color w:val="727272"/>
          <w:shd w:val="clear" w:color="auto" w:fill="FFFFFF"/>
        </w:rPr>
        <w:t>© 2018 GARY K. HEALD, JR. ALL RIGHTS RESERVED</w:t>
      </w:r>
    </w:p>
    <w:sectPr w:rsidR="008E440C" w:rsidRPr="007221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3B" w:rsidRDefault="00CE753B" w:rsidP="001F3E5C">
      <w:r>
        <w:separator/>
      </w:r>
    </w:p>
  </w:endnote>
  <w:endnote w:type="continuationSeparator" w:id="0">
    <w:p w:rsidR="00CE753B" w:rsidRDefault="00CE753B" w:rsidP="001F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3B" w:rsidRDefault="00CE753B" w:rsidP="001F3E5C">
      <w:r>
        <w:separator/>
      </w:r>
    </w:p>
  </w:footnote>
  <w:footnote w:type="continuationSeparator" w:id="0">
    <w:p w:rsidR="00CE753B" w:rsidRDefault="00CE753B" w:rsidP="001F3E5C">
      <w:r>
        <w:continuationSeparator/>
      </w:r>
    </w:p>
  </w:footnote>
  <w:footnote w:id="1">
    <w:p w:rsidR="001B1850" w:rsidRPr="0072219E" w:rsidRDefault="001B1850">
      <w:pPr>
        <w:pStyle w:val="FootnoteText"/>
        <w:rPr>
          <w:rFonts w:asciiTheme="minorHAnsi" w:hAnsiTheme="minorHAnsi"/>
        </w:rPr>
      </w:pPr>
      <w:r w:rsidRPr="0072219E">
        <w:rPr>
          <w:rStyle w:val="FootnoteReference"/>
          <w:rFonts w:asciiTheme="minorHAnsi" w:hAnsiTheme="minorHAnsi"/>
        </w:rPr>
        <w:footnoteRef/>
      </w:r>
      <w:r w:rsidRPr="0072219E">
        <w:rPr>
          <w:rFonts w:asciiTheme="minorHAnsi" w:hAnsiTheme="minorHAnsi"/>
        </w:rPr>
        <w:t xml:space="preserve"> </w:t>
      </w:r>
      <w:r w:rsidRPr="0072219E">
        <w:rPr>
          <w:rFonts w:asciiTheme="minorHAnsi" w:hAnsiTheme="minorHAnsi" w:cs="Arial"/>
          <w:color w:val="222222"/>
          <w:shd w:val="clear" w:color="auto" w:fill="FFFFFF"/>
        </w:rPr>
        <w:t>The </w:t>
      </w:r>
      <w:r w:rsidRPr="0072219E">
        <w:rPr>
          <w:rFonts w:asciiTheme="minorHAnsi" w:hAnsiTheme="minorHAnsi" w:cs="Arial"/>
          <w:bCs/>
          <w:color w:val="222222"/>
          <w:shd w:val="clear" w:color="auto" w:fill="FFFFFF"/>
        </w:rPr>
        <w:t>Hiring Incentives to Restore Employment (HIRE) Act of 2010</w:t>
      </w:r>
      <w:r w:rsidRPr="0072219E">
        <w:rPr>
          <w:rFonts w:asciiTheme="minorHAnsi" w:hAnsiTheme="minorHAnsi" w:cs="Arial"/>
          <w:color w:val="222222"/>
          <w:shd w:val="clear" w:color="auto" w:fill="FFFFFF"/>
        </w:rPr>
        <w:t> (</w:t>
      </w:r>
      <w:proofErr w:type="spellStart"/>
      <w:r w:rsidRPr="0072219E">
        <w:rPr>
          <w:rFonts w:asciiTheme="minorHAnsi" w:hAnsiTheme="minorHAnsi"/>
        </w:rPr>
        <w:fldChar w:fldCharType="begin"/>
      </w:r>
      <w:r w:rsidRPr="0072219E">
        <w:rPr>
          <w:rFonts w:asciiTheme="minorHAnsi" w:hAnsiTheme="minorHAnsi"/>
        </w:rPr>
        <w:instrText xml:space="preserve"> HYPERLINK "http://legislink.org/us/pl-111-147" </w:instrText>
      </w:r>
      <w:r w:rsidRPr="0072219E">
        <w:rPr>
          <w:rFonts w:asciiTheme="minorHAnsi" w:hAnsiTheme="minorHAnsi"/>
        </w:rPr>
        <w:fldChar w:fldCharType="separate"/>
      </w:r>
      <w:r w:rsidRPr="0072219E">
        <w:rPr>
          <w:rStyle w:val="Hyperlink"/>
          <w:rFonts w:asciiTheme="minorHAnsi" w:hAnsiTheme="minorHAnsi" w:cs="Arial"/>
          <w:color w:val="663366"/>
        </w:rPr>
        <w:t>Pub.L</w:t>
      </w:r>
      <w:proofErr w:type="spellEnd"/>
      <w:r w:rsidRPr="0072219E">
        <w:rPr>
          <w:rStyle w:val="Hyperlink"/>
          <w:rFonts w:asciiTheme="minorHAnsi" w:hAnsiTheme="minorHAnsi" w:cs="Arial"/>
          <w:color w:val="663366"/>
        </w:rPr>
        <w:t>. 111–147</w:t>
      </w:r>
      <w:r w:rsidRPr="0072219E">
        <w:rPr>
          <w:rFonts w:asciiTheme="minorHAnsi" w:hAnsiTheme="minorHAnsi"/>
        </w:rPr>
        <w:fldChar w:fldCharType="end"/>
      </w:r>
      <w:r w:rsidRPr="0072219E">
        <w:rPr>
          <w:rFonts w:asciiTheme="minorHAnsi" w:hAnsiTheme="minorHAnsi" w:cs="Arial"/>
          <w:color w:val="222222"/>
          <w:shd w:val="clear" w:color="auto" w:fill="FFFFFF"/>
        </w:rPr>
        <w:t>, 124 </w:t>
      </w:r>
      <w:hyperlink r:id="rId1" w:tooltip="United States Statutes at Large" w:history="1">
        <w:r w:rsidRPr="0072219E">
          <w:rPr>
            <w:rStyle w:val="Hyperlink"/>
            <w:rFonts w:asciiTheme="minorHAnsi" w:hAnsiTheme="minorHAnsi" w:cs="Arial"/>
            <w:color w:val="0B0080"/>
            <w:shd w:val="clear" w:color="auto" w:fill="FFFFFF"/>
          </w:rPr>
          <w:t>Stat.</w:t>
        </w:r>
      </w:hyperlink>
      <w:r w:rsidRPr="0072219E">
        <w:rPr>
          <w:rFonts w:asciiTheme="minorHAnsi" w:hAnsiTheme="minorHAnsi" w:cs="Arial"/>
          <w:color w:val="222222"/>
          <w:shd w:val="clear" w:color="auto" w:fill="FFFFFF"/>
        </w:rPr>
        <w:t> </w:t>
      </w:r>
      <w:hyperlink r:id="rId2" w:history="1">
        <w:r w:rsidRPr="0072219E">
          <w:rPr>
            <w:rStyle w:val="Hyperlink"/>
            <w:rFonts w:asciiTheme="minorHAnsi" w:hAnsiTheme="minorHAnsi" w:cs="Arial"/>
            <w:color w:val="663366"/>
          </w:rPr>
          <w:t>71</w:t>
        </w:r>
      </w:hyperlink>
      <w:r w:rsidRPr="0072219E">
        <w:rPr>
          <w:rFonts w:asciiTheme="minorHAnsi" w:hAnsiTheme="minorHAnsi" w:cs="Arial"/>
          <w:color w:val="222222"/>
          <w:shd w:val="clear" w:color="auto" w:fill="FFFFFF"/>
        </w:rPr>
        <w:t>, enacted March 18, 2010, </w:t>
      </w:r>
      <w:hyperlink r:id="rId3" w:history="1">
        <w:r w:rsidRPr="0072219E">
          <w:rPr>
            <w:rStyle w:val="Hyperlink"/>
            <w:rFonts w:asciiTheme="minorHAnsi" w:hAnsiTheme="minorHAnsi" w:cs="Arial"/>
            <w:color w:val="663366"/>
          </w:rPr>
          <w:t>H.R. 2847</w:t>
        </w:r>
      </w:hyperlink>
      <w:r w:rsidRPr="0072219E">
        <w:rPr>
          <w:rFonts w:asciiTheme="minorHAnsi" w:hAnsiTheme="minorHAnsi" w:cs="Arial"/>
          <w:color w:val="222222"/>
          <w:shd w:val="clear" w:color="auto" w:fill="FFFFFF"/>
        </w:rPr>
        <w:t>).</w:t>
      </w:r>
    </w:p>
  </w:footnote>
  <w:footnote w:id="2">
    <w:p w:rsidR="001B1850" w:rsidRPr="0072219E" w:rsidRDefault="001B1850" w:rsidP="003B59DB">
      <w:pPr>
        <w:pStyle w:val="FootnoteText"/>
        <w:rPr>
          <w:rFonts w:asciiTheme="minorHAnsi" w:hAnsiTheme="minorHAnsi"/>
        </w:rPr>
      </w:pPr>
      <w:r w:rsidRPr="0072219E">
        <w:rPr>
          <w:rStyle w:val="FootnoteReference"/>
          <w:rFonts w:asciiTheme="minorHAnsi" w:hAnsiTheme="minorHAnsi"/>
        </w:rPr>
        <w:footnoteRef/>
      </w:r>
      <w:r w:rsidRPr="0072219E">
        <w:rPr>
          <w:rFonts w:asciiTheme="minorHAnsi" w:hAnsiTheme="minorHAnsi"/>
        </w:rPr>
        <w:t xml:space="preserve"> </w:t>
      </w:r>
      <w:r w:rsidRPr="0072219E">
        <w:rPr>
          <w:rStyle w:val="None"/>
          <w:rFonts w:asciiTheme="minorHAnsi" w:eastAsia="Calibri" w:hAnsiTheme="minorHAnsi"/>
        </w:rPr>
        <w:t>HIRE was originally a $150B dollar incentive package, but the package was reduced to $15B before enactment</w:t>
      </w:r>
      <w:r w:rsidRPr="0072219E">
        <w:rPr>
          <w:rFonts w:asciiTheme="minorHAnsi" w:hAnsiTheme="minorHAnsi"/>
        </w:rPr>
        <w:t>.  It would be interesting to take a look at the timing of the reduction in the HIRE economic incentive package (from $150B to $15B), and compare it with the JCT’s February 23</w:t>
      </w:r>
      <w:r w:rsidRPr="0072219E">
        <w:rPr>
          <w:rFonts w:asciiTheme="minorHAnsi" w:hAnsiTheme="minorHAnsi"/>
          <w:vertAlign w:val="superscript"/>
        </w:rPr>
        <w:t>rd</w:t>
      </w:r>
      <w:r w:rsidRPr="0072219E">
        <w:rPr>
          <w:rFonts w:asciiTheme="minorHAnsi" w:hAnsiTheme="minorHAnsi"/>
        </w:rPr>
        <w:t xml:space="preserve"> estimate, to determine if the reduction in the spending package was a result of learning FATCA would not collect any meaningful amount of tax revenue from offshore accounts, because there was none to collect.</w:t>
      </w:r>
    </w:p>
  </w:footnote>
  <w:footnote w:id="3">
    <w:p w:rsidR="001B1850" w:rsidRPr="0072219E" w:rsidRDefault="001B1850" w:rsidP="00B05C47">
      <w:pPr>
        <w:pStyle w:val="Footnote"/>
        <w:rPr>
          <w:rFonts w:asciiTheme="minorHAnsi" w:hAnsiTheme="minorHAnsi" w:cs="Times New Roman"/>
          <w:sz w:val="20"/>
          <w:szCs w:val="20"/>
        </w:rPr>
      </w:pPr>
      <w:r w:rsidRPr="0072219E">
        <w:rPr>
          <w:rStyle w:val="None"/>
          <w:rFonts w:asciiTheme="minorHAnsi" w:eastAsia="Baskerville" w:hAnsiTheme="minorHAnsi" w:cs="Times New Roman"/>
          <w:sz w:val="20"/>
          <w:szCs w:val="20"/>
          <w:vertAlign w:val="superscript"/>
        </w:rPr>
        <w:footnoteRef/>
      </w:r>
      <w:r w:rsidRPr="0072219E">
        <w:rPr>
          <w:rFonts w:asciiTheme="minorHAnsi" w:hAnsiTheme="minorHAnsi" w:cs="Times New Roman"/>
          <w:sz w:val="20"/>
          <w:szCs w:val="20"/>
        </w:rPr>
        <w:t xml:space="preserve"> </w:t>
      </w:r>
      <w:r w:rsidRPr="0072219E">
        <w:rPr>
          <w:rStyle w:val="None"/>
          <w:rFonts w:asciiTheme="minorHAnsi" w:eastAsia="Calibri" w:hAnsiTheme="minorHAnsi" w:cs="Times New Roman"/>
          <w:i/>
          <w:iCs/>
          <w:sz w:val="20"/>
          <w:szCs w:val="20"/>
        </w:rPr>
        <w:t xml:space="preserve">Tax Haven Banks and U.S. Taxpayer Compliance, </w:t>
      </w:r>
      <w:r w:rsidRPr="0072219E">
        <w:rPr>
          <w:rStyle w:val="None"/>
          <w:rFonts w:asciiTheme="minorHAnsi" w:eastAsia="Calibri" w:hAnsiTheme="minorHAnsi" w:cs="Times New Roman"/>
          <w:sz w:val="20"/>
          <w:szCs w:val="20"/>
        </w:rPr>
        <w:t xml:space="preserve">Senate Permanent </w:t>
      </w:r>
      <w:proofErr w:type="spellStart"/>
      <w:r w:rsidRPr="0072219E">
        <w:rPr>
          <w:rStyle w:val="None"/>
          <w:rFonts w:asciiTheme="minorHAnsi" w:eastAsia="Calibri" w:hAnsiTheme="minorHAnsi" w:cs="Times New Roman"/>
          <w:sz w:val="20"/>
          <w:szCs w:val="20"/>
        </w:rPr>
        <w:t>Subcomm</w:t>
      </w:r>
      <w:proofErr w:type="spellEnd"/>
      <w:r w:rsidRPr="0072219E">
        <w:rPr>
          <w:rStyle w:val="None"/>
          <w:rFonts w:asciiTheme="minorHAnsi" w:eastAsia="Calibri" w:hAnsiTheme="minorHAnsi" w:cs="Times New Roman"/>
          <w:sz w:val="20"/>
          <w:szCs w:val="20"/>
        </w:rPr>
        <w:t xml:space="preserve">. </w:t>
      </w:r>
      <w:proofErr w:type="gramStart"/>
      <w:r w:rsidRPr="0072219E">
        <w:rPr>
          <w:rStyle w:val="None"/>
          <w:rFonts w:asciiTheme="minorHAnsi" w:eastAsia="Calibri" w:hAnsiTheme="minorHAnsi" w:cs="Times New Roman"/>
          <w:sz w:val="20"/>
          <w:szCs w:val="20"/>
        </w:rPr>
        <w:t>on</w:t>
      </w:r>
      <w:proofErr w:type="gramEnd"/>
      <w:r w:rsidRPr="0072219E">
        <w:rPr>
          <w:rStyle w:val="None"/>
          <w:rFonts w:asciiTheme="minorHAnsi" w:eastAsia="Calibri" w:hAnsiTheme="minorHAnsi" w:cs="Times New Roman"/>
          <w:sz w:val="20"/>
          <w:szCs w:val="20"/>
        </w:rPr>
        <w:t xml:space="preserve"> Investigations, Comm. on Homeland Security and Governmental Affairs, 110th Cong. (2008).</w:t>
      </w:r>
    </w:p>
  </w:footnote>
  <w:footnote w:id="4">
    <w:p w:rsidR="001B1850" w:rsidRPr="0072219E" w:rsidRDefault="001B1850">
      <w:pPr>
        <w:pStyle w:val="FootnoteText"/>
        <w:rPr>
          <w:rFonts w:asciiTheme="minorHAnsi" w:hAnsiTheme="minorHAnsi"/>
        </w:rPr>
      </w:pPr>
      <w:r w:rsidRPr="0072219E">
        <w:rPr>
          <w:rStyle w:val="FootnoteReference"/>
          <w:rFonts w:asciiTheme="minorHAnsi" w:hAnsiTheme="minorHAnsi"/>
        </w:rPr>
        <w:footnoteRef/>
      </w:r>
      <w:r w:rsidRPr="0072219E">
        <w:rPr>
          <w:rFonts w:asciiTheme="minorHAnsi" w:hAnsiTheme="minorHAnsi"/>
        </w:rPr>
        <w:t xml:space="preserve"> Ibid.</w:t>
      </w:r>
    </w:p>
  </w:footnote>
  <w:footnote w:id="5">
    <w:p w:rsidR="001B1850" w:rsidRPr="0072219E" w:rsidRDefault="001B1850" w:rsidP="00B05C47">
      <w:pPr>
        <w:pStyle w:val="Footnote"/>
        <w:rPr>
          <w:rFonts w:asciiTheme="minorHAnsi" w:hAnsiTheme="minorHAnsi" w:cs="Times New Roman"/>
          <w:sz w:val="20"/>
          <w:szCs w:val="20"/>
        </w:rPr>
      </w:pPr>
      <w:r w:rsidRPr="0072219E">
        <w:rPr>
          <w:rStyle w:val="None"/>
          <w:rFonts w:asciiTheme="minorHAnsi" w:eastAsia="Baskerville" w:hAnsiTheme="minorHAnsi" w:cs="Times New Roman"/>
          <w:sz w:val="20"/>
          <w:szCs w:val="20"/>
          <w:vertAlign w:val="superscript"/>
        </w:rPr>
        <w:footnoteRef/>
      </w:r>
      <w:r w:rsidRPr="0072219E">
        <w:rPr>
          <w:rFonts w:asciiTheme="minorHAnsi" w:hAnsiTheme="minorHAnsi" w:cs="Times New Roman"/>
          <w:sz w:val="20"/>
          <w:szCs w:val="20"/>
        </w:rPr>
        <w:t xml:space="preserve"> </w:t>
      </w:r>
      <w:proofErr w:type="gramStart"/>
      <w:r w:rsidRPr="0072219E">
        <w:rPr>
          <w:rStyle w:val="None"/>
          <w:rFonts w:asciiTheme="minorHAnsi" w:hAnsiTheme="minorHAnsi" w:cs="Times New Roman"/>
          <w:i/>
          <w:sz w:val="20"/>
          <w:szCs w:val="20"/>
        </w:rPr>
        <w:t>Banking Secrecy Practices and Wealthy Americans</w:t>
      </w:r>
      <w:r w:rsidR="00781437" w:rsidRPr="0072219E">
        <w:rPr>
          <w:rStyle w:val="None"/>
          <w:rFonts w:asciiTheme="minorHAnsi" w:hAnsiTheme="minorHAnsi" w:cs="Times New Roman"/>
          <w:sz w:val="20"/>
          <w:szCs w:val="20"/>
        </w:rPr>
        <w:t>, House</w:t>
      </w:r>
      <w:r w:rsidRPr="0072219E">
        <w:rPr>
          <w:rStyle w:val="None"/>
          <w:rFonts w:asciiTheme="minorHAnsi" w:hAnsiTheme="minorHAnsi" w:cs="Times New Roman"/>
          <w:sz w:val="20"/>
          <w:szCs w:val="20"/>
        </w:rPr>
        <w:t xml:space="preserve"> Ways and Means </w:t>
      </w:r>
      <w:proofErr w:type="spellStart"/>
      <w:r w:rsidRPr="0072219E">
        <w:rPr>
          <w:rStyle w:val="None"/>
          <w:rFonts w:asciiTheme="minorHAnsi" w:hAnsiTheme="minorHAnsi" w:cs="Times New Roman"/>
          <w:sz w:val="20"/>
          <w:szCs w:val="20"/>
        </w:rPr>
        <w:t>Subcomm</w:t>
      </w:r>
      <w:proofErr w:type="spellEnd"/>
      <w:r w:rsidRPr="0072219E">
        <w:rPr>
          <w:rStyle w:val="None"/>
          <w:rFonts w:asciiTheme="minorHAnsi" w:hAnsiTheme="minorHAnsi" w:cs="Times New Roman"/>
          <w:sz w:val="20"/>
          <w:szCs w:val="20"/>
        </w:rPr>
        <w:t>.</w:t>
      </w:r>
      <w:proofErr w:type="gramEnd"/>
      <w:r w:rsidRPr="0072219E">
        <w:rPr>
          <w:rStyle w:val="None"/>
          <w:rFonts w:asciiTheme="minorHAnsi" w:hAnsiTheme="minorHAnsi" w:cs="Times New Roman"/>
          <w:sz w:val="20"/>
          <w:szCs w:val="20"/>
        </w:rPr>
        <w:t xml:space="preserve"> </w:t>
      </w:r>
      <w:proofErr w:type="gramStart"/>
      <w:r w:rsidRPr="0072219E">
        <w:rPr>
          <w:rStyle w:val="None"/>
          <w:rFonts w:asciiTheme="minorHAnsi" w:hAnsiTheme="minorHAnsi" w:cs="Times New Roman"/>
          <w:sz w:val="20"/>
          <w:szCs w:val="20"/>
        </w:rPr>
        <w:t>on</w:t>
      </w:r>
      <w:proofErr w:type="gramEnd"/>
      <w:r w:rsidRPr="0072219E">
        <w:rPr>
          <w:rStyle w:val="None"/>
          <w:rFonts w:asciiTheme="minorHAnsi" w:hAnsiTheme="minorHAnsi" w:cs="Times New Roman"/>
          <w:sz w:val="20"/>
          <w:szCs w:val="20"/>
        </w:rPr>
        <w:t xml:space="preserve"> Select Revenue Measures, 111</w:t>
      </w:r>
      <w:r w:rsidRPr="0072219E">
        <w:rPr>
          <w:rStyle w:val="None"/>
          <w:rFonts w:asciiTheme="minorHAnsi" w:hAnsiTheme="minorHAnsi" w:cs="Times New Roman"/>
          <w:sz w:val="20"/>
          <w:szCs w:val="20"/>
          <w:vertAlign w:val="superscript"/>
        </w:rPr>
        <w:t>th</w:t>
      </w:r>
      <w:r w:rsidRPr="0072219E">
        <w:rPr>
          <w:rStyle w:val="None"/>
          <w:rFonts w:asciiTheme="minorHAnsi" w:hAnsiTheme="minorHAnsi" w:cs="Times New Roman"/>
          <w:sz w:val="20"/>
          <w:szCs w:val="20"/>
        </w:rPr>
        <w:t xml:space="preserve"> Cong. (2009).  Emphasis added.</w:t>
      </w:r>
    </w:p>
  </w:footnote>
  <w:footnote w:id="6">
    <w:p w:rsidR="001B1850" w:rsidRPr="0072219E" w:rsidRDefault="001B1850" w:rsidP="00085B83">
      <w:pPr>
        <w:pStyle w:val="FootnoteText"/>
        <w:rPr>
          <w:rFonts w:asciiTheme="minorHAnsi" w:hAnsiTheme="minorHAnsi"/>
        </w:rPr>
      </w:pPr>
      <w:r w:rsidRPr="0072219E">
        <w:rPr>
          <w:rStyle w:val="FootnoteReference"/>
          <w:rFonts w:asciiTheme="minorHAnsi" w:hAnsiTheme="minorHAnsi"/>
        </w:rPr>
        <w:footnoteRef/>
      </w:r>
      <w:r w:rsidRPr="0072219E">
        <w:rPr>
          <w:rFonts w:asciiTheme="minorHAnsi" w:hAnsiTheme="minorHAnsi"/>
        </w:rPr>
        <w:t xml:space="preserve"> In the U.S., we have a 1099 system, where banks are forced to report interest and dividends.  Unless there is some income from the account, it follows that there can be no income tax due from that account.  The way to determine whether there is income from an account is to require the accountholder’s financial institution to report </w:t>
      </w:r>
      <w:r w:rsidRPr="0072219E">
        <w:rPr>
          <w:rFonts w:asciiTheme="minorHAnsi" w:hAnsiTheme="minorHAnsi"/>
          <w:i/>
        </w:rPr>
        <w:t>on the income</w:t>
      </w:r>
      <w:r w:rsidRPr="0072219E">
        <w:rPr>
          <w:rFonts w:asciiTheme="minorHAnsi" w:hAnsiTheme="minorHAnsi"/>
        </w:rPr>
        <w:t xml:space="preserve"> from the account. </w:t>
      </w:r>
    </w:p>
  </w:footnote>
  <w:footnote w:id="7">
    <w:p w:rsidR="001B1850" w:rsidRPr="0072219E" w:rsidRDefault="001B1850" w:rsidP="00B05C47">
      <w:pPr>
        <w:pStyle w:val="Default"/>
        <w:rPr>
          <w:rFonts w:asciiTheme="minorHAnsi" w:hAnsiTheme="minorHAnsi" w:cs="Times New Roman"/>
          <w:sz w:val="20"/>
          <w:szCs w:val="20"/>
        </w:rPr>
      </w:pPr>
      <w:r w:rsidRPr="0072219E">
        <w:rPr>
          <w:rStyle w:val="None"/>
          <w:rFonts w:asciiTheme="minorHAnsi" w:eastAsia="Baskerville" w:hAnsiTheme="minorHAnsi" w:cs="Times New Roman"/>
          <w:sz w:val="20"/>
          <w:szCs w:val="20"/>
          <w:vertAlign w:val="superscript"/>
        </w:rPr>
        <w:footnoteRef/>
      </w:r>
      <w:r w:rsidRPr="0072219E">
        <w:rPr>
          <w:rFonts w:asciiTheme="minorHAnsi" w:hAnsiTheme="minorHAnsi" w:cs="Times New Roman"/>
          <w:sz w:val="20"/>
          <w:szCs w:val="20"/>
        </w:rPr>
        <w:t xml:space="preserve"> </w:t>
      </w:r>
      <w:proofErr w:type="gramStart"/>
      <w:r w:rsidRPr="0072219E">
        <w:rPr>
          <w:rStyle w:val="None"/>
          <w:rFonts w:asciiTheme="minorHAnsi" w:eastAsia="Calibri" w:hAnsiTheme="minorHAnsi" w:cs="Times New Roman"/>
          <w:sz w:val="20"/>
          <w:szCs w:val="20"/>
        </w:rPr>
        <w:t>The 2010 JCT report estimate of $8.7B in offshore tax evasion tax-revenue to be collected over ten-years or $870M per year (median average).</w:t>
      </w:r>
      <w:proofErr w:type="gramEnd"/>
      <w:r w:rsidRPr="0072219E">
        <w:rPr>
          <w:rStyle w:val="None"/>
          <w:rFonts w:asciiTheme="minorHAnsi" w:eastAsia="Calibri" w:hAnsiTheme="minorHAnsi" w:cs="Times New Roman"/>
          <w:sz w:val="20"/>
          <w:szCs w:val="20"/>
        </w:rPr>
        <w:t xml:space="preserve"> It should be noted that the report breaks down the estimate by year. Therefore the median average is not the best number to use in every case.  Individual calculations based on empirical data from a particular year proving the current validity of the report will incorporate the amounts listed on the report for each relevant year in question to preserve the integrity of the proposition for which the calculation was intended to support.  </w:t>
      </w:r>
    </w:p>
  </w:footnote>
  <w:footnote w:id="8">
    <w:p w:rsidR="001B1850" w:rsidRPr="0072219E" w:rsidRDefault="001B1850">
      <w:pPr>
        <w:pStyle w:val="FootnoteText"/>
        <w:rPr>
          <w:rFonts w:asciiTheme="minorHAnsi" w:hAnsiTheme="minorHAnsi"/>
        </w:rPr>
      </w:pPr>
      <w:r w:rsidRPr="0072219E">
        <w:rPr>
          <w:rStyle w:val="FootnoteReference"/>
          <w:rFonts w:asciiTheme="minorHAnsi" w:hAnsiTheme="minorHAnsi"/>
        </w:rPr>
        <w:footnoteRef/>
      </w:r>
      <w:r w:rsidRPr="0072219E">
        <w:rPr>
          <w:rFonts w:asciiTheme="minorHAnsi" w:hAnsiTheme="minorHAnsi"/>
        </w:rPr>
        <w:t xml:space="preserve"> The House Ways &amp; Means Committee held the Hearing on Banking Secrecy Practices and Wealthy American Taxpayers on March 31st, 2009.  The House passed the original version of HIRE on June 18th, 2009.  The JCTs estimate was released on February 23rd, 2010.  HIRE passed the Senate the following day on February 24th, 2010 (with amendment).  The House followed by adding an amendment on March 4th, 2010 (with amendment) which was approved by the Senate on March 17th, 2010.  March 18</w:t>
      </w:r>
      <w:r w:rsidRPr="0072219E">
        <w:rPr>
          <w:rFonts w:asciiTheme="minorHAnsi" w:hAnsiTheme="minorHAnsi"/>
          <w:vertAlign w:val="superscript"/>
        </w:rPr>
        <w:t>th</w:t>
      </w:r>
      <w:r w:rsidRPr="0072219E">
        <w:rPr>
          <w:rFonts w:asciiTheme="minorHAnsi" w:hAnsiTheme="minorHAnsi"/>
        </w:rPr>
        <w:t>, 2010, President Obama signed HIRE into law, and thereby FATCA into law as well.  Therefore, there was a full month from the time the JCT report was issued, and the day President Obama signed HIRE (containing FATCA) into law.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742E"/>
    <w:multiLevelType w:val="hybridMultilevel"/>
    <w:tmpl w:val="E8F80B52"/>
    <w:lvl w:ilvl="0" w:tplc="77A210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26177"/>
    <w:multiLevelType w:val="hybridMultilevel"/>
    <w:tmpl w:val="B260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4574F"/>
    <w:multiLevelType w:val="hybridMultilevel"/>
    <w:tmpl w:val="2ABA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8716B"/>
    <w:multiLevelType w:val="hybridMultilevel"/>
    <w:tmpl w:val="F10880A0"/>
    <w:lvl w:ilvl="0" w:tplc="39189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2B5992"/>
    <w:multiLevelType w:val="hybridMultilevel"/>
    <w:tmpl w:val="74682DFE"/>
    <w:lvl w:ilvl="0" w:tplc="69C88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B766B3"/>
    <w:multiLevelType w:val="hybridMultilevel"/>
    <w:tmpl w:val="0D96958A"/>
    <w:lvl w:ilvl="0" w:tplc="56F8F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80D32"/>
    <w:multiLevelType w:val="hybridMultilevel"/>
    <w:tmpl w:val="6EE8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321272"/>
    <w:multiLevelType w:val="hybridMultilevel"/>
    <w:tmpl w:val="42E8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40E0A"/>
    <w:multiLevelType w:val="hybridMultilevel"/>
    <w:tmpl w:val="D0606DD8"/>
    <w:lvl w:ilvl="0" w:tplc="E8B2B888">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311F30"/>
    <w:multiLevelType w:val="hybridMultilevel"/>
    <w:tmpl w:val="F1AE4480"/>
    <w:lvl w:ilvl="0" w:tplc="D65C4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8698B"/>
    <w:multiLevelType w:val="hybridMultilevel"/>
    <w:tmpl w:val="929E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0C1A02"/>
    <w:multiLevelType w:val="hybridMultilevel"/>
    <w:tmpl w:val="03E82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9077F"/>
    <w:multiLevelType w:val="hybridMultilevel"/>
    <w:tmpl w:val="7234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0"/>
  </w:num>
  <w:num w:numId="4">
    <w:abstractNumId w:val="11"/>
  </w:num>
  <w:num w:numId="5">
    <w:abstractNumId w:val="7"/>
  </w:num>
  <w:num w:numId="6">
    <w:abstractNumId w:val="6"/>
  </w:num>
  <w:num w:numId="7">
    <w:abstractNumId w:val="0"/>
  </w:num>
  <w:num w:numId="8">
    <w:abstractNumId w:val="1"/>
  </w:num>
  <w:num w:numId="9">
    <w:abstractNumId w:val="9"/>
  </w:num>
  <w:num w:numId="10">
    <w:abstractNumId w:val="3"/>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5C"/>
    <w:rsid w:val="00023773"/>
    <w:rsid w:val="00053564"/>
    <w:rsid w:val="00055A17"/>
    <w:rsid w:val="00070DFB"/>
    <w:rsid w:val="00082A32"/>
    <w:rsid w:val="00085B83"/>
    <w:rsid w:val="000A6848"/>
    <w:rsid w:val="000C6260"/>
    <w:rsid w:val="000E1183"/>
    <w:rsid w:val="000F73C1"/>
    <w:rsid w:val="001561C0"/>
    <w:rsid w:val="00173FC0"/>
    <w:rsid w:val="00186EAC"/>
    <w:rsid w:val="001945BE"/>
    <w:rsid w:val="001B1850"/>
    <w:rsid w:val="001C7ED4"/>
    <w:rsid w:val="001D48A7"/>
    <w:rsid w:val="001F0D24"/>
    <w:rsid w:val="001F3E5C"/>
    <w:rsid w:val="00210D28"/>
    <w:rsid w:val="00215030"/>
    <w:rsid w:val="0023393B"/>
    <w:rsid w:val="0027601E"/>
    <w:rsid w:val="002A05C2"/>
    <w:rsid w:val="002A1F5E"/>
    <w:rsid w:val="002A78A2"/>
    <w:rsid w:val="002C3BE2"/>
    <w:rsid w:val="002C3CD1"/>
    <w:rsid w:val="002D60A4"/>
    <w:rsid w:val="002E197F"/>
    <w:rsid w:val="00334B04"/>
    <w:rsid w:val="00352433"/>
    <w:rsid w:val="00385A9D"/>
    <w:rsid w:val="003B59DB"/>
    <w:rsid w:val="00432D2D"/>
    <w:rsid w:val="0043332F"/>
    <w:rsid w:val="00437F8F"/>
    <w:rsid w:val="00461385"/>
    <w:rsid w:val="004B7E80"/>
    <w:rsid w:val="004E7B90"/>
    <w:rsid w:val="00541DD1"/>
    <w:rsid w:val="005420C7"/>
    <w:rsid w:val="005501F2"/>
    <w:rsid w:val="00584E94"/>
    <w:rsid w:val="005967DB"/>
    <w:rsid w:val="00597CCD"/>
    <w:rsid w:val="005B4D61"/>
    <w:rsid w:val="005D0BC8"/>
    <w:rsid w:val="005D0E1D"/>
    <w:rsid w:val="005F60FD"/>
    <w:rsid w:val="006107EA"/>
    <w:rsid w:val="00614E71"/>
    <w:rsid w:val="006210DA"/>
    <w:rsid w:val="006306E5"/>
    <w:rsid w:val="0063328B"/>
    <w:rsid w:val="00643487"/>
    <w:rsid w:val="00652BB4"/>
    <w:rsid w:val="0068417B"/>
    <w:rsid w:val="006D5672"/>
    <w:rsid w:val="0072219E"/>
    <w:rsid w:val="00727E5C"/>
    <w:rsid w:val="007609AA"/>
    <w:rsid w:val="007655D2"/>
    <w:rsid w:val="00781437"/>
    <w:rsid w:val="0078699C"/>
    <w:rsid w:val="00793B69"/>
    <w:rsid w:val="007942D4"/>
    <w:rsid w:val="007A37D8"/>
    <w:rsid w:val="007B1101"/>
    <w:rsid w:val="007C5BF8"/>
    <w:rsid w:val="007C687D"/>
    <w:rsid w:val="007F7D0D"/>
    <w:rsid w:val="00810C8A"/>
    <w:rsid w:val="0088491D"/>
    <w:rsid w:val="008E440C"/>
    <w:rsid w:val="008E47F3"/>
    <w:rsid w:val="0090731A"/>
    <w:rsid w:val="00911FC3"/>
    <w:rsid w:val="00915812"/>
    <w:rsid w:val="0091670B"/>
    <w:rsid w:val="00986660"/>
    <w:rsid w:val="009B148F"/>
    <w:rsid w:val="009E5FEE"/>
    <w:rsid w:val="009E7582"/>
    <w:rsid w:val="009F0312"/>
    <w:rsid w:val="009F5712"/>
    <w:rsid w:val="00A30E1B"/>
    <w:rsid w:val="00A57AB8"/>
    <w:rsid w:val="00A615E0"/>
    <w:rsid w:val="00A6433E"/>
    <w:rsid w:val="00A66983"/>
    <w:rsid w:val="00A8038B"/>
    <w:rsid w:val="00A95B8C"/>
    <w:rsid w:val="00AF5F21"/>
    <w:rsid w:val="00B01684"/>
    <w:rsid w:val="00B05C47"/>
    <w:rsid w:val="00B223F3"/>
    <w:rsid w:val="00B3500A"/>
    <w:rsid w:val="00B35B70"/>
    <w:rsid w:val="00B66DB9"/>
    <w:rsid w:val="00B721DC"/>
    <w:rsid w:val="00B85F45"/>
    <w:rsid w:val="00BA158D"/>
    <w:rsid w:val="00BA4D2E"/>
    <w:rsid w:val="00BC513D"/>
    <w:rsid w:val="00BD158B"/>
    <w:rsid w:val="00BE2DDA"/>
    <w:rsid w:val="00BF13A8"/>
    <w:rsid w:val="00BF331B"/>
    <w:rsid w:val="00C63C69"/>
    <w:rsid w:val="00C96609"/>
    <w:rsid w:val="00CB6961"/>
    <w:rsid w:val="00CB7932"/>
    <w:rsid w:val="00CE753B"/>
    <w:rsid w:val="00CF2DE4"/>
    <w:rsid w:val="00D05EF2"/>
    <w:rsid w:val="00D06046"/>
    <w:rsid w:val="00D5642E"/>
    <w:rsid w:val="00D750EF"/>
    <w:rsid w:val="00D96F1F"/>
    <w:rsid w:val="00DB49F2"/>
    <w:rsid w:val="00DD15F9"/>
    <w:rsid w:val="00DE1BB3"/>
    <w:rsid w:val="00E26E96"/>
    <w:rsid w:val="00E7439F"/>
    <w:rsid w:val="00E74ABF"/>
    <w:rsid w:val="00E83761"/>
    <w:rsid w:val="00ED4E1B"/>
    <w:rsid w:val="00EF08F4"/>
    <w:rsid w:val="00EF572A"/>
    <w:rsid w:val="00F103CF"/>
    <w:rsid w:val="00F112D0"/>
    <w:rsid w:val="00F16930"/>
    <w:rsid w:val="00F178D7"/>
    <w:rsid w:val="00F23CDE"/>
    <w:rsid w:val="00FB6089"/>
    <w:rsid w:val="00FD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E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3E5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1F3E5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Footnote">
    <w:name w:val="Footnote"/>
    <w:rsid w:val="001F3E5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None">
    <w:name w:val="None"/>
    <w:rsid w:val="001F3E5C"/>
  </w:style>
  <w:style w:type="character" w:customStyle="1" w:styleId="Hyperlink1">
    <w:name w:val="Hyperlink.1"/>
    <w:basedOn w:val="None"/>
    <w:rsid w:val="00B05C47"/>
    <w:rPr>
      <w:color w:val="0563C1"/>
      <w:u w:val="single" w:color="0563C1"/>
      <w:lang w:val="en-US"/>
    </w:rPr>
  </w:style>
  <w:style w:type="character" w:customStyle="1" w:styleId="Hyperlink2">
    <w:name w:val="Hyperlink.2"/>
    <w:basedOn w:val="None"/>
    <w:rsid w:val="00B05C47"/>
    <w:rPr>
      <w:color w:val="0077CC"/>
      <w:u w:val="single" w:color="0077CC"/>
      <w:lang w:val="en-US"/>
    </w:rPr>
  </w:style>
  <w:style w:type="paragraph" w:styleId="ListParagraph">
    <w:name w:val="List Paragraph"/>
    <w:rsid w:val="00B05C47"/>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B05C47"/>
    <w:rPr>
      <w:sz w:val="20"/>
      <w:szCs w:val="20"/>
    </w:rPr>
  </w:style>
  <w:style w:type="character" w:customStyle="1" w:styleId="FootnoteTextChar">
    <w:name w:val="Footnote Text Char"/>
    <w:basedOn w:val="DefaultParagraphFont"/>
    <w:link w:val="FootnoteText"/>
    <w:uiPriority w:val="99"/>
    <w:rsid w:val="00B05C4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B05C47"/>
    <w:rPr>
      <w:vertAlign w:val="superscript"/>
    </w:rPr>
  </w:style>
  <w:style w:type="character" w:styleId="CommentReference">
    <w:name w:val="annotation reference"/>
    <w:basedOn w:val="DefaultParagraphFont"/>
    <w:uiPriority w:val="99"/>
    <w:semiHidden/>
    <w:unhideWhenUsed/>
    <w:rsid w:val="00B05C47"/>
    <w:rPr>
      <w:sz w:val="16"/>
      <w:szCs w:val="16"/>
    </w:rPr>
  </w:style>
  <w:style w:type="paragraph" w:styleId="CommentText">
    <w:name w:val="annotation text"/>
    <w:basedOn w:val="Normal"/>
    <w:link w:val="CommentTextChar"/>
    <w:uiPriority w:val="99"/>
    <w:semiHidden/>
    <w:unhideWhenUsed/>
    <w:rsid w:val="00B05C47"/>
    <w:rPr>
      <w:sz w:val="20"/>
      <w:szCs w:val="20"/>
    </w:rPr>
  </w:style>
  <w:style w:type="character" w:customStyle="1" w:styleId="CommentTextChar">
    <w:name w:val="Comment Text Char"/>
    <w:basedOn w:val="DefaultParagraphFont"/>
    <w:link w:val="CommentText"/>
    <w:uiPriority w:val="99"/>
    <w:semiHidden/>
    <w:rsid w:val="00B05C47"/>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05C47"/>
    <w:rPr>
      <w:rFonts w:ascii="Tahoma" w:hAnsi="Tahoma" w:cs="Tahoma"/>
      <w:sz w:val="16"/>
      <w:szCs w:val="16"/>
    </w:rPr>
  </w:style>
  <w:style w:type="character" w:customStyle="1" w:styleId="BalloonTextChar">
    <w:name w:val="Balloon Text Char"/>
    <w:basedOn w:val="DefaultParagraphFont"/>
    <w:link w:val="BalloonText"/>
    <w:uiPriority w:val="99"/>
    <w:semiHidden/>
    <w:rsid w:val="00B05C47"/>
    <w:rPr>
      <w:rFonts w:ascii="Tahoma" w:eastAsia="Arial Unicode MS" w:hAnsi="Tahoma" w:cs="Tahoma"/>
      <w:sz w:val="16"/>
      <w:szCs w:val="16"/>
      <w:bdr w:val="nil"/>
    </w:rPr>
  </w:style>
  <w:style w:type="paragraph" w:styleId="NoSpacing">
    <w:name w:val="No Spacing"/>
    <w:uiPriority w:val="1"/>
    <w:qFormat/>
    <w:rsid w:val="005420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43487"/>
    <w:rPr>
      <w:color w:val="0000FF" w:themeColor="hyperlink"/>
      <w:u w:val="single"/>
    </w:rPr>
  </w:style>
  <w:style w:type="paragraph" w:styleId="NormalWeb">
    <w:name w:val="Normal (Web)"/>
    <w:basedOn w:val="Normal"/>
    <w:uiPriority w:val="99"/>
    <w:semiHidden/>
    <w:unhideWhenUsed/>
    <w:rsid w:val="00C63C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E5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3E5C"/>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Default">
    <w:name w:val="Default"/>
    <w:rsid w:val="001F3E5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paragraph" w:customStyle="1" w:styleId="Footnote">
    <w:name w:val="Footnote"/>
    <w:rsid w:val="001F3E5C"/>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None">
    <w:name w:val="None"/>
    <w:rsid w:val="001F3E5C"/>
  </w:style>
  <w:style w:type="character" w:customStyle="1" w:styleId="Hyperlink1">
    <w:name w:val="Hyperlink.1"/>
    <w:basedOn w:val="None"/>
    <w:rsid w:val="00B05C47"/>
    <w:rPr>
      <w:color w:val="0563C1"/>
      <w:u w:val="single" w:color="0563C1"/>
      <w:lang w:val="en-US"/>
    </w:rPr>
  </w:style>
  <w:style w:type="character" w:customStyle="1" w:styleId="Hyperlink2">
    <w:name w:val="Hyperlink.2"/>
    <w:basedOn w:val="None"/>
    <w:rsid w:val="00B05C47"/>
    <w:rPr>
      <w:color w:val="0077CC"/>
      <w:u w:val="single" w:color="0077CC"/>
      <w:lang w:val="en-US"/>
    </w:rPr>
  </w:style>
  <w:style w:type="paragraph" w:styleId="ListParagraph">
    <w:name w:val="List Paragraph"/>
    <w:rsid w:val="00B05C47"/>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paragraph" w:styleId="FootnoteText">
    <w:name w:val="footnote text"/>
    <w:basedOn w:val="Normal"/>
    <w:link w:val="FootnoteTextChar"/>
    <w:uiPriority w:val="99"/>
    <w:unhideWhenUsed/>
    <w:rsid w:val="00B05C47"/>
    <w:rPr>
      <w:sz w:val="20"/>
      <w:szCs w:val="20"/>
    </w:rPr>
  </w:style>
  <w:style w:type="character" w:customStyle="1" w:styleId="FootnoteTextChar">
    <w:name w:val="Footnote Text Char"/>
    <w:basedOn w:val="DefaultParagraphFont"/>
    <w:link w:val="FootnoteText"/>
    <w:uiPriority w:val="99"/>
    <w:rsid w:val="00B05C47"/>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unhideWhenUsed/>
    <w:rsid w:val="00B05C47"/>
    <w:rPr>
      <w:vertAlign w:val="superscript"/>
    </w:rPr>
  </w:style>
  <w:style w:type="character" w:styleId="CommentReference">
    <w:name w:val="annotation reference"/>
    <w:basedOn w:val="DefaultParagraphFont"/>
    <w:uiPriority w:val="99"/>
    <w:semiHidden/>
    <w:unhideWhenUsed/>
    <w:rsid w:val="00B05C47"/>
    <w:rPr>
      <w:sz w:val="16"/>
      <w:szCs w:val="16"/>
    </w:rPr>
  </w:style>
  <w:style w:type="paragraph" w:styleId="CommentText">
    <w:name w:val="annotation text"/>
    <w:basedOn w:val="Normal"/>
    <w:link w:val="CommentTextChar"/>
    <w:uiPriority w:val="99"/>
    <w:semiHidden/>
    <w:unhideWhenUsed/>
    <w:rsid w:val="00B05C47"/>
    <w:rPr>
      <w:sz w:val="20"/>
      <w:szCs w:val="20"/>
    </w:rPr>
  </w:style>
  <w:style w:type="character" w:customStyle="1" w:styleId="CommentTextChar">
    <w:name w:val="Comment Text Char"/>
    <w:basedOn w:val="DefaultParagraphFont"/>
    <w:link w:val="CommentText"/>
    <w:uiPriority w:val="99"/>
    <w:semiHidden/>
    <w:rsid w:val="00B05C47"/>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B05C47"/>
    <w:rPr>
      <w:rFonts w:ascii="Tahoma" w:hAnsi="Tahoma" w:cs="Tahoma"/>
      <w:sz w:val="16"/>
      <w:szCs w:val="16"/>
    </w:rPr>
  </w:style>
  <w:style w:type="character" w:customStyle="1" w:styleId="BalloonTextChar">
    <w:name w:val="Balloon Text Char"/>
    <w:basedOn w:val="DefaultParagraphFont"/>
    <w:link w:val="BalloonText"/>
    <w:uiPriority w:val="99"/>
    <w:semiHidden/>
    <w:rsid w:val="00B05C47"/>
    <w:rPr>
      <w:rFonts w:ascii="Tahoma" w:eastAsia="Arial Unicode MS" w:hAnsi="Tahoma" w:cs="Tahoma"/>
      <w:sz w:val="16"/>
      <w:szCs w:val="16"/>
      <w:bdr w:val="nil"/>
    </w:rPr>
  </w:style>
  <w:style w:type="paragraph" w:styleId="NoSpacing">
    <w:name w:val="No Spacing"/>
    <w:uiPriority w:val="1"/>
    <w:qFormat/>
    <w:rsid w:val="005420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643487"/>
    <w:rPr>
      <w:color w:val="0000FF" w:themeColor="hyperlink"/>
      <w:u w:val="single"/>
    </w:rPr>
  </w:style>
  <w:style w:type="paragraph" w:styleId="NormalWeb">
    <w:name w:val="Normal (Web)"/>
    <w:basedOn w:val="Normal"/>
    <w:uiPriority w:val="99"/>
    <w:semiHidden/>
    <w:unhideWhenUsed/>
    <w:rsid w:val="00C63C6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ngress.gov/bill/111th-congress/house-bill/2847" TargetMode="External"/><Relationship Id="rId2" Type="http://schemas.openxmlformats.org/officeDocument/2006/relationships/hyperlink" Target="http://legislink.org/us/stat-124-71" TargetMode="External"/><Relationship Id="rId1" Type="http://schemas.openxmlformats.org/officeDocument/2006/relationships/hyperlink" Target="https://en.wikipedia.org/wiki/United_States_Statutes_at_Lar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CF972-58B0-48EF-9441-544B5ACE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TaxConnections</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Classroom-Law</dc:creator>
  <cp:lastModifiedBy>Classroom-Law</cp:lastModifiedBy>
  <cp:revision>2</cp:revision>
  <dcterms:created xsi:type="dcterms:W3CDTF">2018-07-20T09:11:00Z</dcterms:created>
  <dcterms:modified xsi:type="dcterms:W3CDTF">2018-07-20T09:11:00Z</dcterms:modified>
</cp:coreProperties>
</file>