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EB9E" w14:textId="77777777" w:rsidR="00854716" w:rsidRDefault="00854716" w:rsidP="00854716">
      <w:pPr>
        <w:tabs>
          <w:tab w:val="num" w:pos="720"/>
        </w:tabs>
        <w:ind w:left="720" w:hanging="360"/>
        <w:rPr>
          <w:b/>
          <w:bCs/>
          <w:u w:val="single"/>
        </w:rPr>
      </w:pPr>
    </w:p>
    <w:p w14:paraId="0FDB06B9" w14:textId="77777777" w:rsidR="0032226E" w:rsidRDefault="0032226E" w:rsidP="00854716">
      <w:pPr>
        <w:tabs>
          <w:tab w:val="num" w:pos="720"/>
        </w:tabs>
        <w:ind w:left="720" w:hanging="360"/>
        <w:rPr>
          <w:b/>
          <w:bCs/>
          <w:u w:val="single"/>
        </w:rPr>
      </w:pPr>
    </w:p>
    <w:p w14:paraId="1C60396D" w14:textId="77777777" w:rsidR="0032226E" w:rsidRDefault="0032226E" w:rsidP="004C5904">
      <w:pPr>
        <w:tabs>
          <w:tab w:val="num" w:pos="720"/>
        </w:tabs>
        <w:ind w:left="720" w:hanging="360"/>
        <w:jc w:val="both"/>
        <w:rPr>
          <w:b/>
          <w:bCs/>
          <w:u w:val="single"/>
        </w:rPr>
      </w:pPr>
    </w:p>
    <w:p w14:paraId="21CC0368" w14:textId="77777777" w:rsidR="0032226E" w:rsidRDefault="0032226E" w:rsidP="004C5904">
      <w:pPr>
        <w:jc w:val="both"/>
      </w:pPr>
      <w:r>
        <w:rPr>
          <w:b/>
          <w:bCs/>
        </w:rPr>
        <w:t>Title:</w:t>
      </w:r>
      <w:r>
        <w:t xml:space="preserve"> “Income Opportunities for Banks and Benefits of Federal Tax Credits”</w:t>
      </w:r>
    </w:p>
    <w:p w14:paraId="10895CC0" w14:textId="77777777" w:rsidR="0032226E" w:rsidRDefault="0032226E" w:rsidP="004C5904">
      <w:pPr>
        <w:jc w:val="both"/>
      </w:pPr>
      <w:r>
        <w:rPr>
          <w:b/>
          <w:bCs/>
        </w:rPr>
        <w:t>Description:</w:t>
      </w:r>
      <w:r>
        <w:t xml:space="preserve"> Learn how to generate more income for your bank, forge new relationships establishing a new base of clientele, unlock unique market investments surrounding tax credits that traditional routes may not have unleashed and learn how to trim your tax liability by 15%. </w:t>
      </w:r>
    </w:p>
    <w:p w14:paraId="3E26B11D" w14:textId="77777777" w:rsidR="00854716" w:rsidRPr="00B669B3" w:rsidRDefault="00854716" w:rsidP="00391A23">
      <w:pPr>
        <w:tabs>
          <w:tab w:val="num" w:pos="720"/>
        </w:tabs>
        <w:jc w:val="both"/>
        <w:rPr>
          <w:rFonts w:cstheme="minorHAnsi"/>
          <w:b/>
          <w:bCs/>
          <w:u w:val="single"/>
        </w:rPr>
      </w:pPr>
      <w:r w:rsidRPr="00B669B3">
        <w:rPr>
          <w:rFonts w:cstheme="minorHAnsi"/>
          <w:b/>
          <w:bCs/>
          <w:u w:val="single"/>
        </w:rPr>
        <w:t>Benefits of Investing in Tax Credits:</w:t>
      </w:r>
    </w:p>
    <w:p w14:paraId="6D657F86" w14:textId="77777777" w:rsidR="00854716" w:rsidRPr="003164EA" w:rsidRDefault="00854716" w:rsidP="007F7215">
      <w:pPr>
        <w:numPr>
          <w:ilvl w:val="0"/>
          <w:numId w:val="1"/>
        </w:numPr>
        <w:jc w:val="both"/>
        <w:rPr>
          <w:rFonts w:cstheme="minorHAnsi"/>
        </w:rPr>
      </w:pPr>
      <w:r w:rsidRPr="003164EA">
        <w:rPr>
          <w:rFonts w:cstheme="minorHAnsi"/>
        </w:rPr>
        <w:t>Reduced Tax Liability: One of the primary benefits of investing in tax credits is the ability to reduce your overall tax liability. Tax credits directly offset the taxes you owe, dollar-for-dollar, which can lead to significant tax savings.</w:t>
      </w:r>
    </w:p>
    <w:p w14:paraId="69DA1749" w14:textId="77777777" w:rsidR="00854716" w:rsidRPr="003164EA" w:rsidRDefault="00854716" w:rsidP="007F7215">
      <w:pPr>
        <w:numPr>
          <w:ilvl w:val="0"/>
          <w:numId w:val="1"/>
        </w:numPr>
        <w:jc w:val="both"/>
        <w:rPr>
          <w:rFonts w:cstheme="minorHAnsi"/>
        </w:rPr>
      </w:pPr>
      <w:r w:rsidRPr="003164EA">
        <w:rPr>
          <w:rFonts w:cstheme="minorHAnsi"/>
        </w:rPr>
        <w:t>Diversification: Investing in tax credits can provide an additional avenue for diversifying your investment portfolio. Tax credit investments may not necessarily correlate with traditional investment markets, potentially adding a layer of diversification to your holdings.</w:t>
      </w:r>
    </w:p>
    <w:p w14:paraId="6EBC4307" w14:textId="77777777" w:rsidR="00854716" w:rsidRPr="003164EA" w:rsidRDefault="00854716" w:rsidP="007F7215">
      <w:pPr>
        <w:numPr>
          <w:ilvl w:val="0"/>
          <w:numId w:val="1"/>
        </w:numPr>
        <w:jc w:val="both"/>
        <w:rPr>
          <w:rFonts w:cstheme="minorHAnsi"/>
        </w:rPr>
      </w:pPr>
      <w:r w:rsidRPr="003164EA">
        <w:rPr>
          <w:rFonts w:cstheme="minorHAnsi"/>
        </w:rPr>
        <w:t>Steady Returns: Depending on the specific tax credit program, some investments can provide predictable and stable returns over a specified period. This can be particularly appealing to investors seeking reliable income streams.</w:t>
      </w:r>
    </w:p>
    <w:p w14:paraId="476458E1" w14:textId="77777777" w:rsidR="00854716" w:rsidRPr="00B669B3" w:rsidRDefault="00854716" w:rsidP="007F7215">
      <w:pPr>
        <w:numPr>
          <w:ilvl w:val="0"/>
          <w:numId w:val="1"/>
        </w:numPr>
        <w:jc w:val="both"/>
        <w:rPr>
          <w:rFonts w:cstheme="minorHAnsi"/>
        </w:rPr>
      </w:pPr>
      <w:r w:rsidRPr="003164EA">
        <w:rPr>
          <w:rFonts w:cstheme="minorHAnsi"/>
        </w:rPr>
        <w:t>Supporting Social and Environmental Goals:</w:t>
      </w:r>
      <w:r w:rsidRPr="00B669B3">
        <w:rPr>
          <w:rFonts w:cstheme="minorHAnsi"/>
        </w:rPr>
        <w:t xml:space="preserve"> Many tax credits are designed to incentivize activities that have positive social or environmental impacts, such as investing in renewable energy, affordable housing, or community development. By investing in these areas, you can align your financial goals with your values.</w:t>
      </w:r>
    </w:p>
    <w:p w14:paraId="6FB29AF5" w14:textId="77777777" w:rsidR="00854716" w:rsidRPr="00B669B3" w:rsidRDefault="00854716" w:rsidP="007F7215">
      <w:pPr>
        <w:numPr>
          <w:ilvl w:val="0"/>
          <w:numId w:val="1"/>
        </w:numPr>
        <w:jc w:val="both"/>
        <w:rPr>
          <w:rFonts w:cstheme="minorHAnsi"/>
        </w:rPr>
      </w:pPr>
      <w:r w:rsidRPr="003164EA">
        <w:rPr>
          <w:rFonts w:cstheme="minorHAnsi"/>
        </w:rPr>
        <w:t>Access to Specialized Sectors:</w:t>
      </w:r>
      <w:r w:rsidRPr="00B669B3">
        <w:rPr>
          <w:rFonts w:cstheme="minorHAnsi"/>
        </w:rPr>
        <w:t xml:space="preserve"> Tax credits often target specific industries or sectors, such as renewable energy, historic preservation, or low-income housing. Investing in these sectors through tax credits can provide exposure to opportunities that might not be easily accessible through traditional investments.</w:t>
      </w:r>
    </w:p>
    <w:p w14:paraId="7B65F1ED" w14:textId="77777777" w:rsidR="00670025" w:rsidRDefault="00670025" w:rsidP="007F7215">
      <w:pPr>
        <w:spacing w:after="0"/>
        <w:jc w:val="both"/>
        <w:rPr>
          <w:rFonts w:cstheme="minorHAnsi"/>
          <w:b/>
          <w:bCs/>
          <w:u w:val="single"/>
        </w:rPr>
      </w:pPr>
      <w:r w:rsidRPr="00670025">
        <w:rPr>
          <w:rFonts w:cstheme="minorHAnsi"/>
          <w:b/>
          <w:bCs/>
          <w:u w:val="single"/>
        </w:rPr>
        <w:t>Income Opportunities for Banks:</w:t>
      </w:r>
    </w:p>
    <w:p w14:paraId="7F2D067D" w14:textId="77777777" w:rsidR="00A37EA4" w:rsidRPr="00670025" w:rsidRDefault="00A37EA4" w:rsidP="007F7215">
      <w:pPr>
        <w:spacing w:after="0"/>
        <w:jc w:val="both"/>
        <w:rPr>
          <w:rFonts w:cstheme="minorHAnsi"/>
          <w:b/>
          <w:bCs/>
          <w:u w:val="single"/>
        </w:rPr>
      </w:pPr>
    </w:p>
    <w:p w14:paraId="10FEFAD3" w14:textId="7740FA43" w:rsidR="00670025" w:rsidRPr="00670025" w:rsidRDefault="00670025" w:rsidP="007F7215">
      <w:pPr>
        <w:numPr>
          <w:ilvl w:val="0"/>
          <w:numId w:val="2"/>
        </w:numPr>
        <w:spacing w:after="0"/>
        <w:jc w:val="both"/>
        <w:rPr>
          <w:rFonts w:cstheme="minorHAnsi"/>
        </w:rPr>
      </w:pPr>
      <w:r w:rsidRPr="00670025">
        <w:rPr>
          <w:rFonts w:cstheme="minorHAnsi"/>
        </w:rPr>
        <w:t xml:space="preserve">Earning </w:t>
      </w:r>
      <w:r w:rsidR="001E7568">
        <w:rPr>
          <w:rFonts w:cstheme="minorHAnsi"/>
        </w:rPr>
        <w:t>p</w:t>
      </w:r>
      <w:r w:rsidRPr="00670025">
        <w:rPr>
          <w:rFonts w:cstheme="minorHAnsi"/>
        </w:rPr>
        <w:t xml:space="preserve">otential from </w:t>
      </w:r>
      <w:r w:rsidR="003164EA">
        <w:rPr>
          <w:rFonts w:cstheme="minorHAnsi"/>
        </w:rPr>
        <w:t>c</w:t>
      </w:r>
      <w:r w:rsidRPr="00670025">
        <w:rPr>
          <w:rFonts w:cstheme="minorHAnsi"/>
        </w:rPr>
        <w:t xml:space="preserve">onstruction and </w:t>
      </w:r>
      <w:r w:rsidR="003164EA">
        <w:rPr>
          <w:rFonts w:cstheme="minorHAnsi"/>
        </w:rPr>
        <w:t>p</w:t>
      </w:r>
      <w:r w:rsidRPr="00670025">
        <w:rPr>
          <w:rFonts w:cstheme="minorHAnsi"/>
        </w:rPr>
        <w:t xml:space="preserve">ermanent </w:t>
      </w:r>
      <w:r w:rsidR="003164EA">
        <w:rPr>
          <w:rFonts w:cstheme="minorHAnsi"/>
        </w:rPr>
        <w:t>l</w:t>
      </w:r>
      <w:r w:rsidRPr="00670025">
        <w:rPr>
          <w:rFonts w:cstheme="minorHAnsi"/>
        </w:rPr>
        <w:t>oans</w:t>
      </w:r>
      <w:r w:rsidR="001E7568">
        <w:rPr>
          <w:rFonts w:cstheme="minorHAnsi"/>
        </w:rPr>
        <w:t>.</w:t>
      </w:r>
    </w:p>
    <w:p w14:paraId="20E92F85" w14:textId="225A4B6C" w:rsidR="00670025" w:rsidRPr="00670025" w:rsidRDefault="00670025" w:rsidP="007F7215">
      <w:pPr>
        <w:numPr>
          <w:ilvl w:val="0"/>
          <w:numId w:val="2"/>
        </w:numPr>
        <w:spacing w:after="0"/>
        <w:jc w:val="both"/>
        <w:rPr>
          <w:rFonts w:cstheme="minorHAnsi"/>
        </w:rPr>
      </w:pPr>
      <w:r w:rsidRPr="00670025">
        <w:rPr>
          <w:rFonts w:cstheme="minorHAnsi"/>
        </w:rPr>
        <w:t xml:space="preserve">Fee-Based </w:t>
      </w:r>
      <w:r w:rsidR="003164EA">
        <w:rPr>
          <w:rFonts w:cstheme="minorHAnsi"/>
        </w:rPr>
        <w:t>r</w:t>
      </w:r>
      <w:r w:rsidRPr="00670025">
        <w:rPr>
          <w:rFonts w:cstheme="minorHAnsi"/>
        </w:rPr>
        <w:t xml:space="preserve">evenue from </w:t>
      </w:r>
      <w:r w:rsidR="003164EA">
        <w:rPr>
          <w:rFonts w:cstheme="minorHAnsi"/>
        </w:rPr>
        <w:t>c</w:t>
      </w:r>
      <w:r w:rsidRPr="00670025">
        <w:rPr>
          <w:rFonts w:cstheme="minorHAnsi"/>
        </w:rPr>
        <w:t xml:space="preserve">onstruction and </w:t>
      </w:r>
      <w:r w:rsidR="003164EA">
        <w:rPr>
          <w:rFonts w:cstheme="minorHAnsi"/>
        </w:rPr>
        <w:t>p</w:t>
      </w:r>
      <w:r w:rsidRPr="00670025">
        <w:rPr>
          <w:rFonts w:cstheme="minorHAnsi"/>
        </w:rPr>
        <w:t xml:space="preserve">ermanent </w:t>
      </w:r>
      <w:r w:rsidR="003164EA">
        <w:rPr>
          <w:rFonts w:cstheme="minorHAnsi"/>
        </w:rPr>
        <w:t>l</w:t>
      </w:r>
      <w:r w:rsidRPr="00670025">
        <w:rPr>
          <w:rFonts w:cstheme="minorHAnsi"/>
        </w:rPr>
        <w:t>oans (if offered)</w:t>
      </w:r>
      <w:r w:rsidR="001E7568">
        <w:rPr>
          <w:rFonts w:cstheme="minorHAnsi"/>
        </w:rPr>
        <w:t>.</w:t>
      </w:r>
    </w:p>
    <w:p w14:paraId="2CD0C401" w14:textId="70DEBC39" w:rsidR="00670025" w:rsidRPr="00670025" w:rsidRDefault="00670025" w:rsidP="007F7215">
      <w:pPr>
        <w:numPr>
          <w:ilvl w:val="0"/>
          <w:numId w:val="2"/>
        </w:numPr>
        <w:spacing w:after="0"/>
        <w:jc w:val="both"/>
        <w:rPr>
          <w:rFonts w:cstheme="minorHAnsi"/>
        </w:rPr>
      </w:pPr>
      <w:r w:rsidRPr="00670025">
        <w:rPr>
          <w:rFonts w:cstheme="minorHAnsi"/>
        </w:rPr>
        <w:t xml:space="preserve">Interest </w:t>
      </w:r>
      <w:r w:rsidR="003164EA">
        <w:rPr>
          <w:rFonts w:cstheme="minorHAnsi"/>
        </w:rPr>
        <w:t>i</w:t>
      </w:r>
      <w:r w:rsidRPr="00670025">
        <w:rPr>
          <w:rFonts w:cstheme="minorHAnsi"/>
        </w:rPr>
        <w:t xml:space="preserve">ncome </w:t>
      </w:r>
      <w:r w:rsidR="003164EA">
        <w:rPr>
          <w:rFonts w:cstheme="minorHAnsi"/>
        </w:rPr>
        <w:t>d</w:t>
      </w:r>
      <w:r w:rsidRPr="00670025">
        <w:rPr>
          <w:rFonts w:cstheme="minorHAnsi"/>
        </w:rPr>
        <w:t xml:space="preserve">erived from </w:t>
      </w:r>
      <w:r w:rsidR="003164EA">
        <w:rPr>
          <w:rFonts w:cstheme="minorHAnsi"/>
        </w:rPr>
        <w:t>l</w:t>
      </w:r>
      <w:r w:rsidRPr="00670025">
        <w:rPr>
          <w:rFonts w:cstheme="minorHAnsi"/>
        </w:rPr>
        <w:t xml:space="preserve">oan </w:t>
      </w:r>
      <w:r w:rsidR="003164EA">
        <w:rPr>
          <w:rFonts w:cstheme="minorHAnsi"/>
        </w:rPr>
        <w:t>p</w:t>
      </w:r>
      <w:r w:rsidRPr="00670025">
        <w:rPr>
          <w:rFonts w:cstheme="minorHAnsi"/>
        </w:rPr>
        <w:t>ortfolios</w:t>
      </w:r>
      <w:r w:rsidR="001E7568">
        <w:rPr>
          <w:rFonts w:cstheme="minorHAnsi"/>
        </w:rPr>
        <w:t>.</w:t>
      </w:r>
    </w:p>
    <w:p w14:paraId="5FFC272A" w14:textId="0613FB80" w:rsidR="00670025" w:rsidRDefault="00670025" w:rsidP="007F7215">
      <w:pPr>
        <w:numPr>
          <w:ilvl w:val="0"/>
          <w:numId w:val="2"/>
        </w:numPr>
        <w:spacing w:after="0"/>
        <w:jc w:val="both"/>
        <w:rPr>
          <w:rFonts w:cstheme="minorHAnsi"/>
        </w:rPr>
      </w:pPr>
      <w:r w:rsidRPr="00670025">
        <w:rPr>
          <w:rFonts w:cstheme="minorHAnsi"/>
        </w:rPr>
        <w:t xml:space="preserve">Cash </w:t>
      </w:r>
      <w:r w:rsidR="003164EA">
        <w:rPr>
          <w:rFonts w:cstheme="minorHAnsi"/>
        </w:rPr>
        <w:t>f</w:t>
      </w:r>
      <w:r w:rsidRPr="00670025">
        <w:rPr>
          <w:rFonts w:cstheme="minorHAnsi"/>
        </w:rPr>
        <w:t xml:space="preserve">low </w:t>
      </w:r>
      <w:r w:rsidR="003164EA">
        <w:rPr>
          <w:rFonts w:cstheme="minorHAnsi"/>
        </w:rPr>
        <w:t>g</w:t>
      </w:r>
      <w:r w:rsidRPr="00670025">
        <w:rPr>
          <w:rFonts w:cstheme="minorHAnsi"/>
        </w:rPr>
        <w:t xml:space="preserve">enerated by </w:t>
      </w:r>
      <w:r w:rsidR="003164EA">
        <w:rPr>
          <w:rFonts w:cstheme="minorHAnsi"/>
        </w:rPr>
        <w:t>p</w:t>
      </w:r>
      <w:r w:rsidRPr="00670025">
        <w:rPr>
          <w:rFonts w:cstheme="minorHAnsi"/>
        </w:rPr>
        <w:t>rojects (varies per project)</w:t>
      </w:r>
      <w:r w:rsidR="001E7568">
        <w:rPr>
          <w:rFonts w:cstheme="minorHAnsi"/>
        </w:rPr>
        <w:t>.</w:t>
      </w:r>
    </w:p>
    <w:p w14:paraId="760AB142" w14:textId="77777777" w:rsidR="001E7568" w:rsidRPr="00670025" w:rsidRDefault="001E7568" w:rsidP="007F7215">
      <w:pPr>
        <w:spacing w:after="0"/>
        <w:ind w:left="720"/>
        <w:jc w:val="both"/>
        <w:rPr>
          <w:rFonts w:cstheme="minorHAnsi"/>
        </w:rPr>
      </w:pPr>
    </w:p>
    <w:p w14:paraId="67775710" w14:textId="77777777" w:rsidR="00670025" w:rsidRPr="003164EA" w:rsidRDefault="00670025" w:rsidP="007F7215">
      <w:pPr>
        <w:spacing w:after="0"/>
        <w:jc w:val="both"/>
        <w:rPr>
          <w:rFonts w:cstheme="minorHAnsi"/>
          <w:b/>
          <w:bCs/>
          <w:u w:val="single"/>
        </w:rPr>
      </w:pPr>
      <w:r w:rsidRPr="00670025">
        <w:rPr>
          <w:rFonts w:cstheme="minorHAnsi"/>
          <w:b/>
          <w:bCs/>
          <w:u w:val="single"/>
        </w:rPr>
        <w:t>Additional Opportunities for Banks:</w:t>
      </w:r>
    </w:p>
    <w:p w14:paraId="3C9CA4B6" w14:textId="77777777" w:rsidR="00A37EA4" w:rsidRPr="00670025" w:rsidRDefault="00A37EA4" w:rsidP="007F7215">
      <w:pPr>
        <w:spacing w:after="0"/>
        <w:jc w:val="both"/>
        <w:rPr>
          <w:rFonts w:cstheme="minorHAnsi"/>
          <w:b/>
          <w:bCs/>
          <w:u w:val="single"/>
        </w:rPr>
      </w:pPr>
    </w:p>
    <w:p w14:paraId="6853F4B9" w14:textId="7A630D0D" w:rsidR="00670025" w:rsidRPr="00670025" w:rsidRDefault="00670025" w:rsidP="007F7215">
      <w:pPr>
        <w:numPr>
          <w:ilvl w:val="0"/>
          <w:numId w:val="3"/>
        </w:numPr>
        <w:spacing w:after="0"/>
        <w:jc w:val="both"/>
        <w:rPr>
          <w:rFonts w:cstheme="minorHAnsi"/>
        </w:rPr>
      </w:pPr>
      <w:r w:rsidRPr="00670025">
        <w:rPr>
          <w:rFonts w:cstheme="minorHAnsi"/>
        </w:rPr>
        <w:t xml:space="preserve">Attracting </w:t>
      </w:r>
      <w:r w:rsidR="003164EA">
        <w:rPr>
          <w:rFonts w:cstheme="minorHAnsi"/>
        </w:rPr>
        <w:t>d</w:t>
      </w:r>
      <w:r w:rsidRPr="00670025">
        <w:rPr>
          <w:rFonts w:cstheme="minorHAnsi"/>
        </w:rPr>
        <w:t>eposits</w:t>
      </w:r>
      <w:r w:rsidR="001E7568">
        <w:rPr>
          <w:rFonts w:cstheme="minorHAnsi"/>
        </w:rPr>
        <w:t>.</w:t>
      </w:r>
    </w:p>
    <w:p w14:paraId="77E05D55" w14:textId="24E54797" w:rsidR="00670025" w:rsidRPr="00670025" w:rsidRDefault="00670025" w:rsidP="007F7215">
      <w:pPr>
        <w:numPr>
          <w:ilvl w:val="0"/>
          <w:numId w:val="3"/>
        </w:numPr>
        <w:spacing w:after="0"/>
        <w:jc w:val="both"/>
        <w:rPr>
          <w:rFonts w:cstheme="minorHAnsi"/>
        </w:rPr>
      </w:pPr>
      <w:r w:rsidRPr="00670025">
        <w:rPr>
          <w:rFonts w:cstheme="minorHAnsi"/>
        </w:rPr>
        <w:t xml:space="preserve">Access to </w:t>
      </w:r>
      <w:r w:rsidR="003164EA">
        <w:rPr>
          <w:rFonts w:cstheme="minorHAnsi"/>
        </w:rPr>
        <w:t>c</w:t>
      </w:r>
      <w:r w:rsidRPr="00670025">
        <w:rPr>
          <w:rFonts w:cstheme="minorHAnsi"/>
        </w:rPr>
        <w:t xml:space="preserve">ash </w:t>
      </w:r>
      <w:r w:rsidR="003164EA">
        <w:rPr>
          <w:rFonts w:cstheme="minorHAnsi"/>
        </w:rPr>
        <w:t>r</w:t>
      </w:r>
      <w:r w:rsidRPr="00670025">
        <w:rPr>
          <w:rFonts w:cstheme="minorHAnsi"/>
        </w:rPr>
        <w:t>eserves (operational, marketing, replacement reserves, etc.)</w:t>
      </w:r>
      <w:r w:rsidR="001E7568">
        <w:rPr>
          <w:rFonts w:cstheme="minorHAnsi"/>
        </w:rPr>
        <w:t>.</w:t>
      </w:r>
    </w:p>
    <w:p w14:paraId="6A04FF7F" w14:textId="37992437" w:rsidR="00670025" w:rsidRPr="00670025" w:rsidRDefault="00670025" w:rsidP="007F7215">
      <w:pPr>
        <w:numPr>
          <w:ilvl w:val="0"/>
          <w:numId w:val="3"/>
        </w:numPr>
        <w:spacing w:after="0"/>
        <w:jc w:val="both"/>
        <w:rPr>
          <w:rFonts w:cstheme="minorHAnsi"/>
        </w:rPr>
      </w:pPr>
      <w:r w:rsidRPr="00670025">
        <w:rPr>
          <w:rFonts w:cstheme="minorHAnsi"/>
        </w:rPr>
        <w:lastRenderedPageBreak/>
        <w:t xml:space="preserve">Establishment of </w:t>
      </w:r>
      <w:r w:rsidR="007F7215">
        <w:rPr>
          <w:rFonts w:cstheme="minorHAnsi"/>
        </w:rPr>
        <w:t>n</w:t>
      </w:r>
      <w:r w:rsidRPr="00670025">
        <w:rPr>
          <w:rFonts w:cstheme="minorHAnsi"/>
        </w:rPr>
        <w:t xml:space="preserve">ew </w:t>
      </w:r>
      <w:r w:rsidR="001A59BF">
        <w:rPr>
          <w:rFonts w:cstheme="minorHAnsi"/>
        </w:rPr>
        <w:t>r</w:t>
      </w:r>
      <w:r w:rsidRPr="00670025">
        <w:rPr>
          <w:rFonts w:cstheme="minorHAnsi"/>
        </w:rPr>
        <w:t xml:space="preserve">elationships with </w:t>
      </w:r>
      <w:r w:rsidR="001A59BF">
        <w:rPr>
          <w:rFonts w:cstheme="minorHAnsi"/>
        </w:rPr>
        <w:t>d</w:t>
      </w:r>
      <w:r w:rsidRPr="00670025">
        <w:rPr>
          <w:rFonts w:cstheme="minorHAnsi"/>
        </w:rPr>
        <w:t xml:space="preserve">evelopers </w:t>
      </w:r>
      <w:r w:rsidR="001A59BF">
        <w:rPr>
          <w:rFonts w:cstheme="minorHAnsi"/>
        </w:rPr>
        <w:t>i</w:t>
      </w:r>
      <w:r w:rsidRPr="00670025">
        <w:rPr>
          <w:rFonts w:cstheme="minorHAnsi"/>
        </w:rPr>
        <w:t xml:space="preserve">nvolved in </w:t>
      </w:r>
      <w:r w:rsidR="001A59BF">
        <w:rPr>
          <w:rFonts w:cstheme="minorHAnsi"/>
        </w:rPr>
        <w:t>d</w:t>
      </w:r>
      <w:r w:rsidRPr="00670025">
        <w:rPr>
          <w:rFonts w:cstheme="minorHAnsi"/>
        </w:rPr>
        <w:t xml:space="preserve">iverse </w:t>
      </w:r>
      <w:r w:rsidR="001A59BF">
        <w:rPr>
          <w:rFonts w:cstheme="minorHAnsi"/>
        </w:rPr>
        <w:t>v</w:t>
      </w:r>
      <w:r w:rsidRPr="00670025">
        <w:rPr>
          <w:rFonts w:cstheme="minorHAnsi"/>
        </w:rPr>
        <w:t>entures</w:t>
      </w:r>
      <w:r w:rsidR="001E7568">
        <w:rPr>
          <w:rFonts w:cstheme="minorHAnsi"/>
        </w:rPr>
        <w:t>.</w:t>
      </w:r>
    </w:p>
    <w:p w14:paraId="5CCAA664" w14:textId="51B3B50D" w:rsidR="00670025" w:rsidRPr="00670025" w:rsidRDefault="00670025" w:rsidP="007F7215">
      <w:pPr>
        <w:numPr>
          <w:ilvl w:val="0"/>
          <w:numId w:val="3"/>
        </w:numPr>
        <w:spacing w:after="0"/>
        <w:jc w:val="both"/>
        <w:rPr>
          <w:rFonts w:cstheme="minorHAnsi"/>
        </w:rPr>
      </w:pPr>
      <w:r w:rsidRPr="00670025">
        <w:rPr>
          <w:rFonts w:cstheme="minorHAnsi"/>
        </w:rPr>
        <w:t xml:space="preserve">Political and </w:t>
      </w:r>
      <w:r w:rsidR="001A59BF">
        <w:rPr>
          <w:rFonts w:cstheme="minorHAnsi"/>
        </w:rPr>
        <w:t>p</w:t>
      </w:r>
      <w:r w:rsidRPr="00670025">
        <w:rPr>
          <w:rFonts w:cstheme="minorHAnsi"/>
        </w:rPr>
        <w:t xml:space="preserve">ublic </w:t>
      </w:r>
      <w:r w:rsidR="001A59BF">
        <w:rPr>
          <w:rFonts w:cstheme="minorHAnsi"/>
        </w:rPr>
        <w:t>r</w:t>
      </w:r>
      <w:r w:rsidRPr="00670025">
        <w:rPr>
          <w:rFonts w:cstheme="minorHAnsi"/>
        </w:rPr>
        <w:t xml:space="preserve">elations </w:t>
      </w:r>
      <w:r w:rsidR="001A59BF">
        <w:rPr>
          <w:rFonts w:cstheme="minorHAnsi"/>
        </w:rPr>
        <w:t>p</w:t>
      </w:r>
      <w:r w:rsidRPr="00670025">
        <w:rPr>
          <w:rFonts w:cstheme="minorHAnsi"/>
        </w:rPr>
        <w:t xml:space="preserve">rospects, as </w:t>
      </w:r>
      <w:r w:rsidR="00471344">
        <w:rPr>
          <w:rFonts w:cstheme="minorHAnsi"/>
        </w:rPr>
        <w:t>l</w:t>
      </w:r>
      <w:r w:rsidRPr="00670025">
        <w:rPr>
          <w:rFonts w:cstheme="minorHAnsi"/>
        </w:rPr>
        <w:t xml:space="preserve">ocal and </w:t>
      </w:r>
      <w:r w:rsidR="00471344">
        <w:rPr>
          <w:rFonts w:cstheme="minorHAnsi"/>
        </w:rPr>
        <w:t>s</w:t>
      </w:r>
      <w:r w:rsidRPr="00670025">
        <w:rPr>
          <w:rFonts w:cstheme="minorHAnsi"/>
        </w:rPr>
        <w:t xml:space="preserve">tate </w:t>
      </w:r>
      <w:r w:rsidR="00471344">
        <w:rPr>
          <w:rFonts w:cstheme="minorHAnsi"/>
        </w:rPr>
        <w:t>o</w:t>
      </w:r>
      <w:r w:rsidRPr="00670025">
        <w:rPr>
          <w:rFonts w:cstheme="minorHAnsi"/>
        </w:rPr>
        <w:t xml:space="preserve">fficials </w:t>
      </w:r>
      <w:r w:rsidR="00471344">
        <w:rPr>
          <w:rFonts w:cstheme="minorHAnsi"/>
        </w:rPr>
        <w:t>o</w:t>
      </w:r>
      <w:r w:rsidRPr="00670025">
        <w:rPr>
          <w:rFonts w:cstheme="minorHAnsi"/>
        </w:rPr>
        <w:t xml:space="preserve">ften </w:t>
      </w:r>
      <w:r w:rsidR="00471344">
        <w:rPr>
          <w:rFonts w:cstheme="minorHAnsi"/>
        </w:rPr>
        <w:t>s</w:t>
      </w:r>
      <w:r w:rsidRPr="00670025">
        <w:rPr>
          <w:rFonts w:cstheme="minorHAnsi"/>
        </w:rPr>
        <w:t xml:space="preserve">upport </w:t>
      </w:r>
      <w:r w:rsidR="00471344">
        <w:rPr>
          <w:rFonts w:cstheme="minorHAnsi"/>
        </w:rPr>
        <w:t>s</w:t>
      </w:r>
      <w:r w:rsidRPr="00670025">
        <w:rPr>
          <w:rFonts w:cstheme="minorHAnsi"/>
        </w:rPr>
        <w:t xml:space="preserve">uch </w:t>
      </w:r>
      <w:r w:rsidR="00471344">
        <w:rPr>
          <w:rFonts w:cstheme="minorHAnsi"/>
        </w:rPr>
        <w:t>i</w:t>
      </w:r>
      <w:r w:rsidRPr="00670025">
        <w:rPr>
          <w:rFonts w:cstheme="minorHAnsi"/>
        </w:rPr>
        <w:t xml:space="preserve">nitiatives and </w:t>
      </w:r>
      <w:r w:rsidR="00471344">
        <w:rPr>
          <w:rFonts w:cstheme="minorHAnsi"/>
        </w:rPr>
        <w:t>a</w:t>
      </w:r>
      <w:r w:rsidRPr="00670025">
        <w:rPr>
          <w:rFonts w:cstheme="minorHAnsi"/>
        </w:rPr>
        <w:t xml:space="preserve">ttend </w:t>
      </w:r>
      <w:r w:rsidR="00471344">
        <w:rPr>
          <w:rFonts w:cstheme="minorHAnsi"/>
        </w:rPr>
        <w:t>g</w:t>
      </w:r>
      <w:r w:rsidRPr="00670025">
        <w:rPr>
          <w:rFonts w:cstheme="minorHAnsi"/>
        </w:rPr>
        <w:t xml:space="preserve">roundbreaking </w:t>
      </w:r>
      <w:r w:rsidR="00471344">
        <w:rPr>
          <w:rFonts w:cstheme="minorHAnsi"/>
        </w:rPr>
        <w:t>e</w:t>
      </w:r>
      <w:r w:rsidRPr="00670025">
        <w:rPr>
          <w:rFonts w:cstheme="minorHAnsi"/>
        </w:rPr>
        <w:t xml:space="preserve">vents and </w:t>
      </w:r>
      <w:r w:rsidR="00471344">
        <w:rPr>
          <w:rFonts w:cstheme="minorHAnsi"/>
        </w:rPr>
        <w:t>g</w:t>
      </w:r>
      <w:r w:rsidRPr="00670025">
        <w:rPr>
          <w:rFonts w:cstheme="minorHAnsi"/>
        </w:rPr>
        <w:t xml:space="preserve">rand </w:t>
      </w:r>
      <w:r w:rsidR="00471344">
        <w:rPr>
          <w:rFonts w:cstheme="minorHAnsi"/>
        </w:rPr>
        <w:t>o</w:t>
      </w:r>
      <w:r w:rsidRPr="00670025">
        <w:rPr>
          <w:rFonts w:cstheme="minorHAnsi"/>
        </w:rPr>
        <w:t>penings</w:t>
      </w:r>
      <w:r w:rsidR="00471344">
        <w:rPr>
          <w:rFonts w:cstheme="minorHAnsi"/>
        </w:rPr>
        <w:t>.</w:t>
      </w:r>
    </w:p>
    <w:p w14:paraId="655E42D0" w14:textId="03EE953C" w:rsidR="00670025" w:rsidRPr="00670025" w:rsidRDefault="00670025" w:rsidP="00862B0F">
      <w:pPr>
        <w:spacing w:after="0"/>
        <w:ind w:left="360"/>
        <w:jc w:val="both"/>
        <w:rPr>
          <w:rFonts w:cstheme="minorHAnsi"/>
        </w:rPr>
      </w:pPr>
    </w:p>
    <w:p w14:paraId="6F06DEEA" w14:textId="77777777" w:rsidR="00670025" w:rsidRPr="00670025" w:rsidRDefault="00670025" w:rsidP="00B669B3">
      <w:pPr>
        <w:spacing w:after="0"/>
        <w:rPr>
          <w:rFonts w:cstheme="minorHAnsi"/>
          <w:vanish/>
        </w:rPr>
      </w:pPr>
      <w:r w:rsidRPr="00670025">
        <w:rPr>
          <w:rFonts w:cstheme="minorHAnsi"/>
          <w:vanish/>
        </w:rPr>
        <w:t>Top of Form</w:t>
      </w:r>
    </w:p>
    <w:p w14:paraId="6C591FF0" w14:textId="77777777" w:rsidR="004638BE" w:rsidRPr="00B669B3" w:rsidRDefault="004638BE" w:rsidP="00B669B3">
      <w:pPr>
        <w:spacing w:after="0"/>
        <w:rPr>
          <w:rFonts w:cstheme="minorHAnsi"/>
        </w:rPr>
      </w:pPr>
    </w:p>
    <w:sectPr w:rsidR="004638BE" w:rsidRPr="00B669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0DC6" w14:textId="77777777" w:rsidR="005B33EC" w:rsidRDefault="005B33EC" w:rsidP="00002DE9">
      <w:pPr>
        <w:spacing w:after="0" w:line="240" w:lineRule="auto"/>
      </w:pPr>
      <w:r>
        <w:separator/>
      </w:r>
    </w:p>
  </w:endnote>
  <w:endnote w:type="continuationSeparator" w:id="0">
    <w:p w14:paraId="508A652F" w14:textId="77777777" w:rsidR="005B33EC" w:rsidRDefault="005B33EC" w:rsidP="0000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301B" w14:textId="3AD57675" w:rsidR="00EB1F91" w:rsidRDefault="00886764" w:rsidP="007F7215">
    <w:pPr>
      <w:pStyle w:val="Footer"/>
      <w:jc w:val="both"/>
    </w:pPr>
    <w:r>
      <w:rPr>
        <w:noProof/>
      </w:rPr>
      <mc:AlternateContent>
        <mc:Choice Requires="wps">
          <w:drawing>
            <wp:anchor distT="45720" distB="45720" distL="114300" distR="114300" simplePos="0" relativeHeight="251661312" behindDoc="0" locked="0" layoutInCell="1" allowOverlap="1" wp14:anchorId="2A2E473D" wp14:editId="04FDBBF5">
              <wp:simplePos x="0" y="0"/>
              <wp:positionH relativeFrom="margin">
                <wp:posOffset>-723900</wp:posOffset>
              </wp:positionH>
              <wp:positionV relativeFrom="paragraph">
                <wp:posOffset>247015</wp:posOffset>
              </wp:positionV>
              <wp:extent cx="7496175" cy="276225"/>
              <wp:effectExtent l="0" t="0" r="0" b="0"/>
              <wp:wrapNone/>
              <wp:docPr id="16034846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276225"/>
                      </a:xfrm>
                      <a:prstGeom prst="rect">
                        <a:avLst/>
                      </a:prstGeom>
                      <a:noFill/>
                      <a:ln w="9525">
                        <a:noFill/>
                        <a:miter lim="800000"/>
                        <a:headEnd/>
                        <a:tailEnd/>
                      </a:ln>
                    </wps:spPr>
                    <wps:txbx>
                      <w:txbxContent>
                        <w:p w14:paraId="28F34082" w14:textId="1B7EC714" w:rsidR="00886764" w:rsidRDefault="00886764" w:rsidP="00886764">
                          <w:pPr>
                            <w:pStyle w:val="Footer"/>
                          </w:pPr>
                          <w:r>
                            <w:t xml:space="preserve">Vine Investment Partners, LLC | 309 Settlers Trace Blvd. Ste 200 Lafayette, La 70508 | </w:t>
                          </w:r>
                          <w:hyperlink r:id="rId1" w:history="1">
                            <w:r w:rsidRPr="009F71A2">
                              <w:rPr>
                                <w:rStyle w:val="Hyperlink"/>
                              </w:rPr>
                              <w:t>Addison@VineFirm.com</w:t>
                            </w:r>
                          </w:hyperlink>
                          <w:r>
                            <w:t xml:space="preserve"> | (337) 258-2449</w:t>
                          </w:r>
                        </w:p>
                        <w:p w14:paraId="16FE74D9" w14:textId="77777777" w:rsidR="00886764" w:rsidRDefault="00886764" w:rsidP="008867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E473D" id="_x0000_t202" coordsize="21600,21600" o:spt="202" path="m,l,21600r21600,l21600,xe">
              <v:stroke joinstyle="miter"/>
              <v:path gradientshapeok="t" o:connecttype="rect"/>
            </v:shapetype>
            <v:shape id="Text Box 2" o:spid="_x0000_s1026" type="#_x0000_t202" style="position:absolute;left:0;text-align:left;margin-left:-57pt;margin-top:19.45pt;width:590.25pt;height:2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" filled="f" stroked="f">
              <v:textbox>
                <w:txbxContent>
                  <w:p w14:paraId="28F34082" w14:textId="1B7EC714" w:rsidR="00886764" w:rsidRDefault="00886764" w:rsidP="00886764">
                    <w:pPr>
                      <w:pStyle w:val="Footer"/>
                    </w:pPr>
                    <w:r>
                      <w:t xml:space="preserve">Vine Investment Partners, LLC | 309 Settlers Trace Blvd. Ste 200 Lafayette, La 70508 | </w:t>
                    </w:r>
                    <w:hyperlink r:id="rId2" w:history="1">
                      <w:r w:rsidRPr="009F71A2">
                        <w:rPr>
                          <w:rStyle w:val="Hyperlink"/>
                        </w:rPr>
                        <w:t>Addison@VineFirm.com</w:t>
                      </w:r>
                    </w:hyperlink>
                    <w:r>
                      <w:t xml:space="preserve"> | (337) 258-2449</w:t>
                    </w:r>
                  </w:p>
                  <w:p w14:paraId="16FE74D9" w14:textId="77777777" w:rsidR="00886764" w:rsidRDefault="00886764" w:rsidP="00886764"/>
                </w:txbxContent>
              </v:textbox>
              <w10:wrap anchorx="margin"/>
            </v:shape>
          </w:pict>
        </mc:Fallback>
      </mc:AlternateContent>
    </w:r>
    <w:r w:rsidR="00C158CF">
      <w:rPr>
        <w:noProof/>
      </w:rPr>
      <mc:AlternateContent>
        <mc:Choice Requires="wps">
          <w:drawing>
            <wp:anchor distT="0" distB="0" distL="114300" distR="114300" simplePos="0" relativeHeight="251659264" behindDoc="0" locked="0" layoutInCell="1" allowOverlap="1" wp14:anchorId="7D8F20C5" wp14:editId="38DEE9AA">
              <wp:simplePos x="0" y="0"/>
              <wp:positionH relativeFrom="column">
                <wp:posOffset>-1276350</wp:posOffset>
              </wp:positionH>
              <wp:positionV relativeFrom="paragraph">
                <wp:posOffset>142875</wp:posOffset>
              </wp:positionV>
              <wp:extent cx="10487025" cy="466725"/>
              <wp:effectExtent l="0" t="0" r="9525" b="9525"/>
              <wp:wrapNone/>
              <wp:docPr id="1095334859" name="Rectangle 1095334859"/>
              <wp:cNvGraphicFramePr/>
              <a:graphic xmlns:a="http://schemas.openxmlformats.org/drawingml/2006/main">
                <a:graphicData uri="http://schemas.microsoft.com/office/word/2010/wordprocessingShape">
                  <wps:wsp>
                    <wps:cNvSpPr/>
                    <wps:spPr>
                      <a:xfrm>
                        <a:off x="0" y="0"/>
                        <a:ext cx="10487025" cy="4667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06D4" id="Rectangle 1095334859" o:spid="_x0000_s1026" style="position:absolute;margin-left:-100.5pt;margin-top:11.25pt;width:825.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" fillcolor="#d8d8d8 [2732]" stroked="f" strokeweight="1pt"/>
          </w:pict>
        </mc:Fallback>
      </mc:AlternateContent>
    </w:r>
    <w:r w:rsidR="00585E0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184C" w14:textId="77777777" w:rsidR="005B33EC" w:rsidRDefault="005B33EC" w:rsidP="00002DE9">
      <w:pPr>
        <w:spacing w:after="0" w:line="240" w:lineRule="auto"/>
      </w:pPr>
      <w:r>
        <w:separator/>
      </w:r>
    </w:p>
  </w:footnote>
  <w:footnote w:type="continuationSeparator" w:id="0">
    <w:p w14:paraId="1AE96DC0" w14:textId="77777777" w:rsidR="005B33EC" w:rsidRDefault="005B33EC" w:rsidP="0000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CD8A" w14:textId="5D9512A4" w:rsidR="00002DE9" w:rsidRPr="00002DE9" w:rsidRDefault="00002DE9" w:rsidP="00002DE9">
    <w:pPr>
      <w:pStyle w:val="Header"/>
      <w:jc w:val="center"/>
    </w:pPr>
    <w:r>
      <w:rPr>
        <w:noProof/>
      </w:rPr>
      <w:drawing>
        <wp:inline distT="0" distB="0" distL="0" distR="0" wp14:anchorId="3AF912B1" wp14:editId="3C11C4ED">
          <wp:extent cx="2450592" cy="841248"/>
          <wp:effectExtent l="0" t="0" r="6985" b="0"/>
          <wp:docPr id="991148847" name="Picture 1"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148847" name="Picture 1" descr="A black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0592" cy="841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20FA"/>
    <w:multiLevelType w:val="multilevel"/>
    <w:tmpl w:val="9F226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504404"/>
    <w:multiLevelType w:val="multilevel"/>
    <w:tmpl w:val="407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360F0F"/>
    <w:multiLevelType w:val="multilevel"/>
    <w:tmpl w:val="EFD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4156330">
    <w:abstractNumId w:val="1"/>
  </w:num>
  <w:num w:numId="2" w16cid:durableId="631836092">
    <w:abstractNumId w:val="0"/>
  </w:num>
  <w:num w:numId="3" w16cid:durableId="374742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58"/>
    <w:rsid w:val="00002DE9"/>
    <w:rsid w:val="001A59BF"/>
    <w:rsid w:val="001E7568"/>
    <w:rsid w:val="00261BC8"/>
    <w:rsid w:val="003164EA"/>
    <w:rsid w:val="003209CD"/>
    <w:rsid w:val="0032226E"/>
    <w:rsid w:val="00391A23"/>
    <w:rsid w:val="004638BE"/>
    <w:rsid w:val="00471344"/>
    <w:rsid w:val="004C5904"/>
    <w:rsid w:val="004C6E3A"/>
    <w:rsid w:val="00514E9F"/>
    <w:rsid w:val="00555F58"/>
    <w:rsid w:val="00585E01"/>
    <w:rsid w:val="005B33EC"/>
    <w:rsid w:val="0062174F"/>
    <w:rsid w:val="00670025"/>
    <w:rsid w:val="007E4BED"/>
    <w:rsid w:val="007F7215"/>
    <w:rsid w:val="00854716"/>
    <w:rsid w:val="00862B0F"/>
    <w:rsid w:val="00886764"/>
    <w:rsid w:val="009B5936"/>
    <w:rsid w:val="00A37EA4"/>
    <w:rsid w:val="00B669B3"/>
    <w:rsid w:val="00C158CF"/>
    <w:rsid w:val="00CA1328"/>
    <w:rsid w:val="00EB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2DACA"/>
  <w15:chartTrackingRefBased/>
  <w15:docId w15:val="{ED050E6D-C6DD-4BBB-ACA8-8DCBF460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DE9"/>
  </w:style>
  <w:style w:type="paragraph" w:styleId="Footer">
    <w:name w:val="footer"/>
    <w:basedOn w:val="Normal"/>
    <w:link w:val="FooterChar"/>
    <w:uiPriority w:val="99"/>
    <w:unhideWhenUsed/>
    <w:rsid w:val="0000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DE9"/>
  </w:style>
  <w:style w:type="character" w:styleId="Hyperlink">
    <w:name w:val="Hyperlink"/>
    <w:basedOn w:val="DefaultParagraphFont"/>
    <w:uiPriority w:val="99"/>
    <w:unhideWhenUsed/>
    <w:rsid w:val="00585E01"/>
    <w:rPr>
      <w:color w:val="0563C1" w:themeColor="hyperlink"/>
      <w:u w:val="single"/>
    </w:rPr>
  </w:style>
  <w:style w:type="character" w:styleId="UnresolvedMention">
    <w:name w:val="Unresolved Mention"/>
    <w:basedOn w:val="DefaultParagraphFont"/>
    <w:uiPriority w:val="99"/>
    <w:semiHidden/>
    <w:unhideWhenUsed/>
    <w:rsid w:val="00585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02352">
      <w:bodyDiv w:val="1"/>
      <w:marLeft w:val="0"/>
      <w:marRight w:val="0"/>
      <w:marTop w:val="0"/>
      <w:marBottom w:val="0"/>
      <w:divBdr>
        <w:top w:val="none" w:sz="0" w:space="0" w:color="auto"/>
        <w:left w:val="none" w:sz="0" w:space="0" w:color="auto"/>
        <w:bottom w:val="none" w:sz="0" w:space="0" w:color="auto"/>
        <w:right w:val="none" w:sz="0" w:space="0" w:color="auto"/>
      </w:divBdr>
    </w:div>
    <w:div w:id="895746236">
      <w:bodyDiv w:val="1"/>
      <w:marLeft w:val="0"/>
      <w:marRight w:val="0"/>
      <w:marTop w:val="0"/>
      <w:marBottom w:val="0"/>
      <w:divBdr>
        <w:top w:val="none" w:sz="0" w:space="0" w:color="auto"/>
        <w:left w:val="none" w:sz="0" w:space="0" w:color="auto"/>
        <w:bottom w:val="none" w:sz="0" w:space="0" w:color="auto"/>
        <w:right w:val="none" w:sz="0" w:space="0" w:color="auto"/>
      </w:divBdr>
      <w:divsChild>
        <w:div w:id="1296913489">
          <w:marLeft w:val="0"/>
          <w:marRight w:val="0"/>
          <w:marTop w:val="0"/>
          <w:marBottom w:val="0"/>
          <w:divBdr>
            <w:top w:val="single" w:sz="2" w:space="0" w:color="D9D9E3"/>
            <w:left w:val="single" w:sz="2" w:space="0" w:color="D9D9E3"/>
            <w:bottom w:val="single" w:sz="2" w:space="0" w:color="D9D9E3"/>
            <w:right w:val="single" w:sz="2" w:space="0" w:color="D9D9E3"/>
          </w:divBdr>
          <w:divsChild>
            <w:div w:id="53311859">
              <w:marLeft w:val="0"/>
              <w:marRight w:val="0"/>
              <w:marTop w:val="0"/>
              <w:marBottom w:val="0"/>
              <w:divBdr>
                <w:top w:val="single" w:sz="2" w:space="0" w:color="D9D9E3"/>
                <w:left w:val="single" w:sz="2" w:space="0" w:color="D9D9E3"/>
                <w:bottom w:val="single" w:sz="2" w:space="0" w:color="D9D9E3"/>
                <w:right w:val="single" w:sz="2" w:space="0" w:color="D9D9E3"/>
              </w:divBdr>
              <w:divsChild>
                <w:div w:id="1050346650">
                  <w:marLeft w:val="0"/>
                  <w:marRight w:val="0"/>
                  <w:marTop w:val="0"/>
                  <w:marBottom w:val="0"/>
                  <w:divBdr>
                    <w:top w:val="single" w:sz="2" w:space="0" w:color="D9D9E3"/>
                    <w:left w:val="single" w:sz="2" w:space="0" w:color="D9D9E3"/>
                    <w:bottom w:val="single" w:sz="2" w:space="0" w:color="D9D9E3"/>
                    <w:right w:val="single" w:sz="2" w:space="0" w:color="D9D9E3"/>
                  </w:divBdr>
                  <w:divsChild>
                    <w:div w:id="141041447">
                      <w:marLeft w:val="0"/>
                      <w:marRight w:val="0"/>
                      <w:marTop w:val="0"/>
                      <w:marBottom w:val="0"/>
                      <w:divBdr>
                        <w:top w:val="single" w:sz="2" w:space="0" w:color="D9D9E3"/>
                        <w:left w:val="single" w:sz="2" w:space="0" w:color="D9D9E3"/>
                        <w:bottom w:val="single" w:sz="2" w:space="0" w:color="D9D9E3"/>
                        <w:right w:val="single" w:sz="2" w:space="0" w:color="D9D9E3"/>
                      </w:divBdr>
                      <w:divsChild>
                        <w:div w:id="1556114510">
                          <w:marLeft w:val="0"/>
                          <w:marRight w:val="0"/>
                          <w:marTop w:val="0"/>
                          <w:marBottom w:val="0"/>
                          <w:divBdr>
                            <w:top w:val="single" w:sz="2" w:space="0" w:color="auto"/>
                            <w:left w:val="single" w:sz="2" w:space="0" w:color="auto"/>
                            <w:bottom w:val="single" w:sz="6" w:space="0" w:color="auto"/>
                            <w:right w:val="single" w:sz="2" w:space="0" w:color="auto"/>
                          </w:divBdr>
                          <w:divsChild>
                            <w:div w:id="1308826278">
                              <w:marLeft w:val="0"/>
                              <w:marRight w:val="0"/>
                              <w:marTop w:val="100"/>
                              <w:marBottom w:val="100"/>
                              <w:divBdr>
                                <w:top w:val="single" w:sz="2" w:space="0" w:color="D9D9E3"/>
                                <w:left w:val="single" w:sz="2" w:space="0" w:color="D9D9E3"/>
                                <w:bottom w:val="single" w:sz="2" w:space="0" w:color="D9D9E3"/>
                                <w:right w:val="single" w:sz="2" w:space="0" w:color="D9D9E3"/>
                              </w:divBdr>
                              <w:divsChild>
                                <w:div w:id="247691097">
                                  <w:marLeft w:val="0"/>
                                  <w:marRight w:val="0"/>
                                  <w:marTop w:val="0"/>
                                  <w:marBottom w:val="0"/>
                                  <w:divBdr>
                                    <w:top w:val="single" w:sz="2" w:space="0" w:color="D9D9E3"/>
                                    <w:left w:val="single" w:sz="2" w:space="0" w:color="D9D9E3"/>
                                    <w:bottom w:val="single" w:sz="2" w:space="0" w:color="D9D9E3"/>
                                    <w:right w:val="single" w:sz="2" w:space="0" w:color="D9D9E3"/>
                                  </w:divBdr>
                                  <w:divsChild>
                                    <w:div w:id="2130392048">
                                      <w:marLeft w:val="0"/>
                                      <w:marRight w:val="0"/>
                                      <w:marTop w:val="0"/>
                                      <w:marBottom w:val="0"/>
                                      <w:divBdr>
                                        <w:top w:val="single" w:sz="2" w:space="0" w:color="D9D9E3"/>
                                        <w:left w:val="single" w:sz="2" w:space="0" w:color="D9D9E3"/>
                                        <w:bottom w:val="single" w:sz="2" w:space="0" w:color="D9D9E3"/>
                                        <w:right w:val="single" w:sz="2" w:space="0" w:color="D9D9E3"/>
                                      </w:divBdr>
                                      <w:divsChild>
                                        <w:div w:id="756367014">
                                          <w:marLeft w:val="0"/>
                                          <w:marRight w:val="0"/>
                                          <w:marTop w:val="0"/>
                                          <w:marBottom w:val="0"/>
                                          <w:divBdr>
                                            <w:top w:val="single" w:sz="2" w:space="0" w:color="D9D9E3"/>
                                            <w:left w:val="single" w:sz="2" w:space="0" w:color="D9D9E3"/>
                                            <w:bottom w:val="single" w:sz="2" w:space="0" w:color="D9D9E3"/>
                                            <w:right w:val="single" w:sz="2" w:space="0" w:color="D9D9E3"/>
                                          </w:divBdr>
                                          <w:divsChild>
                                            <w:div w:id="700277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6670517">
          <w:marLeft w:val="0"/>
          <w:marRight w:val="0"/>
          <w:marTop w:val="0"/>
          <w:marBottom w:val="0"/>
          <w:divBdr>
            <w:top w:val="none" w:sz="0" w:space="0" w:color="auto"/>
            <w:left w:val="none" w:sz="0" w:space="0" w:color="auto"/>
            <w:bottom w:val="none" w:sz="0" w:space="0" w:color="auto"/>
            <w:right w:val="none" w:sz="0" w:space="0" w:color="auto"/>
          </w:divBdr>
        </w:div>
      </w:divsChild>
    </w:div>
    <w:div w:id="1468863926">
      <w:bodyDiv w:val="1"/>
      <w:marLeft w:val="0"/>
      <w:marRight w:val="0"/>
      <w:marTop w:val="0"/>
      <w:marBottom w:val="0"/>
      <w:divBdr>
        <w:top w:val="none" w:sz="0" w:space="0" w:color="auto"/>
        <w:left w:val="none" w:sz="0" w:space="0" w:color="auto"/>
        <w:bottom w:val="none" w:sz="0" w:space="0" w:color="auto"/>
        <w:right w:val="none" w:sz="0" w:space="0" w:color="auto"/>
      </w:divBdr>
    </w:div>
    <w:div w:id="20220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dison@VineFirm.com" TargetMode="External"/><Relationship Id="rId1" Type="http://schemas.openxmlformats.org/officeDocument/2006/relationships/hyperlink" Target="mailto:Addison@VineFir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Henry</dc:creator>
  <cp:keywords/>
  <dc:description/>
  <cp:lastModifiedBy>Addison Henry</cp:lastModifiedBy>
  <cp:revision>22</cp:revision>
  <dcterms:created xsi:type="dcterms:W3CDTF">2023-08-25T13:24:00Z</dcterms:created>
  <dcterms:modified xsi:type="dcterms:W3CDTF">2023-08-29T16:19:00Z</dcterms:modified>
</cp:coreProperties>
</file>