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10" w:rsidRPr="00625B33" w:rsidRDefault="00EC3BF8" w:rsidP="00C6055D">
      <w:pPr>
        <w:rPr>
          <w:rFonts w:asciiTheme="majorHAnsi" w:hAnsiTheme="majorHAnsi"/>
          <w:b/>
        </w:rPr>
      </w:pPr>
      <w:r w:rsidRPr="00625B33">
        <w:rPr>
          <w:rFonts w:asciiTheme="majorHAnsi" w:hAnsiTheme="majorHAnsi"/>
          <w:b/>
        </w:rPr>
        <w:t xml:space="preserve">JOCK TAX:  </w:t>
      </w:r>
      <w:r w:rsidR="00493E18" w:rsidRPr="00625B33">
        <w:rPr>
          <w:rFonts w:asciiTheme="majorHAnsi" w:hAnsiTheme="majorHAnsi"/>
          <w:b/>
        </w:rPr>
        <w:t xml:space="preserve">REDUCING THE TAX LIABILITY OF PROFESSIONAL </w:t>
      </w:r>
      <w:r w:rsidR="00F50FBB" w:rsidRPr="00625B33">
        <w:rPr>
          <w:rFonts w:asciiTheme="majorHAnsi" w:hAnsiTheme="majorHAnsi"/>
          <w:b/>
        </w:rPr>
        <w:t>ATHLETES</w:t>
      </w:r>
      <w:r w:rsidR="00480AB3" w:rsidRPr="00625B33">
        <w:rPr>
          <w:rFonts w:asciiTheme="majorHAnsi" w:hAnsiTheme="majorHAnsi"/>
          <w:b/>
        </w:rPr>
        <w:t>:  FARINESS IN APPORTIONMENT</w:t>
      </w:r>
    </w:p>
    <w:p w:rsidR="00EC3BF8" w:rsidRPr="00625B33" w:rsidRDefault="005A3710" w:rsidP="00C6055D">
      <w:pPr>
        <w:rPr>
          <w:rFonts w:asciiTheme="majorHAnsi" w:hAnsiTheme="majorHAnsi"/>
          <w:i/>
        </w:rPr>
      </w:pPr>
      <w:r w:rsidRPr="00625B33">
        <w:rPr>
          <w:rFonts w:asciiTheme="majorHAnsi" w:hAnsiTheme="majorHAnsi"/>
          <w:i/>
        </w:rPr>
        <w:t xml:space="preserve">This is the first-post in a multi-part series dealing with the income tax imposed on professional </w:t>
      </w:r>
      <w:r w:rsidR="0021601A">
        <w:rPr>
          <w:rFonts w:asciiTheme="majorHAnsi" w:hAnsiTheme="majorHAnsi"/>
          <w:i/>
        </w:rPr>
        <w:t xml:space="preserve">athlete earnings.  This post </w:t>
      </w:r>
      <w:bookmarkStart w:id="0" w:name="_GoBack"/>
      <w:bookmarkEnd w:id="0"/>
      <w:r w:rsidRPr="00625B33">
        <w:rPr>
          <w:rFonts w:asciiTheme="majorHAnsi" w:hAnsiTheme="majorHAnsi"/>
          <w:i/>
        </w:rPr>
        <w:t>reveals the value in questioning and sometimes challenging the apportionment formula methodologies employed by states and municipalities in application to non-resident professional athletes.</w:t>
      </w:r>
    </w:p>
    <w:p w:rsidR="00481AA0" w:rsidRPr="00625B33" w:rsidRDefault="00481AA0" w:rsidP="00C6055D">
      <w:pPr>
        <w:rPr>
          <w:rFonts w:asciiTheme="majorHAnsi" w:hAnsiTheme="majorHAnsi"/>
        </w:rPr>
      </w:pPr>
      <w:r w:rsidRPr="00625B33">
        <w:rPr>
          <w:rFonts w:asciiTheme="majorHAnsi" w:hAnsiTheme="majorHAnsi"/>
          <w:b/>
        </w:rPr>
        <w:t>Here’s the hypothetical:</w:t>
      </w:r>
      <w:r w:rsidRPr="00625B33">
        <w:rPr>
          <w:rFonts w:asciiTheme="majorHAnsi" w:hAnsiTheme="majorHAnsi"/>
        </w:rPr>
        <w:t xml:space="preserve">  I’m a professional athlete, live in Florida and travel for games</w:t>
      </w:r>
      <w:r w:rsidR="005A3710" w:rsidRPr="00625B33">
        <w:rPr>
          <w:rFonts w:asciiTheme="majorHAnsi" w:hAnsiTheme="majorHAnsi"/>
        </w:rPr>
        <w:t xml:space="preserve">.  When I travel to another state or municipality for work, they frequently impose an income tax on my earnings.  </w:t>
      </w:r>
      <w:r w:rsidRPr="00625B33">
        <w:rPr>
          <w:rFonts w:asciiTheme="majorHAnsi" w:hAnsiTheme="majorHAnsi"/>
        </w:rPr>
        <w:t xml:space="preserve">I’m neither afforded an exemption nor is there an applicable reciprocal agreement between my state and </w:t>
      </w:r>
      <w:r w:rsidR="005A3710" w:rsidRPr="00625B33">
        <w:rPr>
          <w:rFonts w:asciiTheme="majorHAnsi" w:hAnsiTheme="majorHAnsi"/>
        </w:rPr>
        <w:t>the places I visit</w:t>
      </w:r>
      <w:r w:rsidRPr="00625B33">
        <w:rPr>
          <w:rFonts w:asciiTheme="majorHAnsi" w:hAnsiTheme="majorHAnsi"/>
        </w:rPr>
        <w:t>.</w:t>
      </w:r>
      <w:r w:rsidR="005A3710" w:rsidRPr="00625B33">
        <w:rPr>
          <w:rFonts w:asciiTheme="majorHAnsi" w:hAnsiTheme="majorHAnsi"/>
        </w:rPr>
        <w:t xml:space="preserve">  What can I do to reduce my SALT exposure in the</w:t>
      </w:r>
      <w:r w:rsidR="00044257" w:rsidRPr="00625B33">
        <w:rPr>
          <w:rFonts w:asciiTheme="majorHAnsi" w:hAnsiTheme="majorHAnsi"/>
        </w:rPr>
        <w:t>se</w:t>
      </w:r>
      <w:r w:rsidR="005A3710" w:rsidRPr="00625B33">
        <w:rPr>
          <w:rFonts w:asciiTheme="majorHAnsi" w:hAnsiTheme="majorHAnsi"/>
        </w:rPr>
        <w:t xml:space="preserve"> foreign jurisdiction</w:t>
      </w:r>
      <w:r w:rsidR="00044257" w:rsidRPr="00625B33">
        <w:rPr>
          <w:rFonts w:asciiTheme="majorHAnsi" w:hAnsiTheme="majorHAnsi"/>
        </w:rPr>
        <w:t>s</w:t>
      </w:r>
      <w:r w:rsidR="005A3710" w:rsidRPr="00625B33">
        <w:rPr>
          <w:rFonts w:asciiTheme="majorHAnsi" w:hAnsiTheme="majorHAnsi"/>
        </w:rPr>
        <w:t>?</w:t>
      </w:r>
    </w:p>
    <w:p w:rsidR="00F74386" w:rsidRPr="00625B33" w:rsidRDefault="001E0599" w:rsidP="00C6055D">
      <w:pPr>
        <w:rPr>
          <w:rFonts w:asciiTheme="majorHAnsi" w:hAnsiTheme="majorHAnsi"/>
        </w:rPr>
      </w:pPr>
      <w:r w:rsidRPr="00625B33">
        <w:rPr>
          <w:rFonts w:asciiTheme="majorHAnsi" w:hAnsiTheme="majorHAnsi"/>
        </w:rPr>
        <w:t>All but nine states impose an income tax on wage earnings.</w:t>
      </w:r>
      <w:r w:rsidRPr="00625B33">
        <w:rPr>
          <w:rStyle w:val="FootnoteReference"/>
          <w:rFonts w:asciiTheme="majorHAnsi" w:hAnsiTheme="majorHAnsi"/>
        </w:rPr>
        <w:footnoteReference w:id="1"/>
      </w:r>
      <w:r w:rsidR="00EA0DB2" w:rsidRPr="00625B33">
        <w:rPr>
          <w:rFonts w:asciiTheme="majorHAnsi" w:hAnsiTheme="majorHAnsi"/>
        </w:rPr>
        <w:t xml:space="preserve">  </w:t>
      </w:r>
      <w:r w:rsidR="00153901" w:rsidRPr="00625B33">
        <w:rPr>
          <w:rFonts w:asciiTheme="majorHAnsi" w:hAnsiTheme="majorHAnsi"/>
        </w:rPr>
        <w:t xml:space="preserve">Generally, non-resident </w:t>
      </w:r>
      <w:r w:rsidR="003D25F2" w:rsidRPr="00625B33">
        <w:rPr>
          <w:rFonts w:asciiTheme="majorHAnsi" w:hAnsiTheme="majorHAnsi"/>
        </w:rPr>
        <w:t xml:space="preserve">taxpayers </w:t>
      </w:r>
      <w:r w:rsidR="00153901" w:rsidRPr="00625B33">
        <w:rPr>
          <w:rFonts w:asciiTheme="majorHAnsi" w:hAnsiTheme="majorHAnsi"/>
        </w:rPr>
        <w:t>are afforde</w:t>
      </w:r>
      <w:r w:rsidRPr="00625B33">
        <w:rPr>
          <w:rFonts w:asciiTheme="majorHAnsi" w:hAnsiTheme="majorHAnsi"/>
        </w:rPr>
        <w:t>d an exemption</w:t>
      </w:r>
      <w:r w:rsidRPr="00625B33">
        <w:rPr>
          <w:rStyle w:val="FootnoteReference"/>
          <w:rFonts w:asciiTheme="majorHAnsi" w:hAnsiTheme="majorHAnsi"/>
        </w:rPr>
        <w:footnoteReference w:id="2"/>
      </w:r>
      <w:r w:rsidRPr="00625B33">
        <w:rPr>
          <w:rFonts w:asciiTheme="majorHAnsi" w:hAnsiTheme="majorHAnsi"/>
        </w:rPr>
        <w:t xml:space="preserve"> from those taxes (or fly under the audit radar),</w:t>
      </w:r>
      <w:r w:rsidR="00153901" w:rsidRPr="00625B33">
        <w:rPr>
          <w:rFonts w:asciiTheme="majorHAnsi" w:hAnsiTheme="majorHAnsi"/>
        </w:rPr>
        <w:t xml:space="preserve"> but </w:t>
      </w:r>
      <w:r w:rsidR="00EF6415" w:rsidRPr="00625B33">
        <w:rPr>
          <w:rFonts w:asciiTheme="majorHAnsi" w:hAnsiTheme="majorHAnsi"/>
        </w:rPr>
        <w:t>p</w:t>
      </w:r>
      <w:r w:rsidR="00DF4E0A" w:rsidRPr="00625B33">
        <w:rPr>
          <w:rFonts w:asciiTheme="majorHAnsi" w:hAnsiTheme="majorHAnsi"/>
        </w:rPr>
        <w:t>rofessional athletes</w:t>
      </w:r>
      <w:r w:rsidR="00EE318B" w:rsidRPr="00625B33">
        <w:rPr>
          <w:rFonts w:asciiTheme="majorHAnsi" w:hAnsiTheme="majorHAnsi"/>
        </w:rPr>
        <w:t xml:space="preserve"> receive</w:t>
      </w:r>
      <w:r w:rsidR="00C6055D" w:rsidRPr="00625B33">
        <w:rPr>
          <w:rFonts w:asciiTheme="majorHAnsi" w:hAnsiTheme="majorHAnsi"/>
        </w:rPr>
        <w:t xml:space="preserve"> special attention</w:t>
      </w:r>
      <w:r w:rsidR="00153901" w:rsidRPr="00625B33">
        <w:rPr>
          <w:rFonts w:asciiTheme="majorHAnsi" w:hAnsiTheme="majorHAnsi"/>
        </w:rPr>
        <w:t xml:space="preserve"> from the taxing authorities</w:t>
      </w:r>
      <w:r w:rsidR="00350C35" w:rsidRPr="00625B33">
        <w:rPr>
          <w:rFonts w:asciiTheme="majorHAnsi" w:hAnsiTheme="majorHAnsi"/>
        </w:rPr>
        <w:t>.</w:t>
      </w:r>
      <w:r w:rsidR="00153901" w:rsidRPr="00625B33">
        <w:rPr>
          <w:rFonts w:asciiTheme="majorHAnsi" w:hAnsiTheme="majorHAnsi"/>
        </w:rPr>
        <w:t xml:space="preserve"> </w:t>
      </w:r>
      <w:r w:rsidR="008D4889" w:rsidRPr="00625B33">
        <w:rPr>
          <w:rFonts w:asciiTheme="majorHAnsi" w:hAnsiTheme="majorHAnsi"/>
        </w:rPr>
        <w:t xml:space="preserve">Publicized </w:t>
      </w:r>
      <w:r w:rsidR="00C6055D" w:rsidRPr="00625B33">
        <w:rPr>
          <w:rFonts w:asciiTheme="majorHAnsi" w:hAnsiTheme="majorHAnsi"/>
        </w:rPr>
        <w:t>high-salaries and travel sc</w:t>
      </w:r>
      <w:r w:rsidR="008D4889" w:rsidRPr="00625B33">
        <w:rPr>
          <w:rFonts w:asciiTheme="majorHAnsi" w:hAnsiTheme="majorHAnsi"/>
        </w:rPr>
        <w:t xml:space="preserve">hedules </w:t>
      </w:r>
      <w:r w:rsidR="00350C35" w:rsidRPr="00625B33">
        <w:rPr>
          <w:rFonts w:asciiTheme="majorHAnsi" w:hAnsiTheme="majorHAnsi"/>
        </w:rPr>
        <w:t xml:space="preserve">reveal to </w:t>
      </w:r>
      <w:r w:rsidR="008D4889" w:rsidRPr="00625B33">
        <w:rPr>
          <w:rFonts w:asciiTheme="majorHAnsi" w:hAnsiTheme="majorHAnsi"/>
        </w:rPr>
        <w:t>t</w:t>
      </w:r>
      <w:r w:rsidR="00350C35" w:rsidRPr="00625B33">
        <w:rPr>
          <w:rFonts w:asciiTheme="majorHAnsi" w:hAnsiTheme="majorHAnsi"/>
        </w:rPr>
        <w:t>ax authori</w:t>
      </w:r>
      <w:r w:rsidR="00F50FBB" w:rsidRPr="00625B33">
        <w:rPr>
          <w:rFonts w:asciiTheme="majorHAnsi" w:hAnsiTheme="majorHAnsi"/>
        </w:rPr>
        <w:t>tie</w:t>
      </w:r>
      <w:r w:rsidR="000B5240" w:rsidRPr="00625B33">
        <w:rPr>
          <w:rFonts w:asciiTheme="majorHAnsi" w:hAnsiTheme="majorHAnsi"/>
        </w:rPr>
        <w:t>s a professional athlete’s</w:t>
      </w:r>
      <w:r w:rsidR="00F50FBB" w:rsidRPr="00625B33">
        <w:rPr>
          <w:rFonts w:asciiTheme="majorHAnsi" w:hAnsiTheme="majorHAnsi"/>
        </w:rPr>
        <w:t xml:space="preserve"> </w:t>
      </w:r>
      <w:r w:rsidR="00350C35" w:rsidRPr="00625B33">
        <w:rPr>
          <w:rFonts w:asciiTheme="majorHAnsi" w:hAnsiTheme="majorHAnsi"/>
        </w:rPr>
        <w:t>travel schedule</w:t>
      </w:r>
      <w:r w:rsidR="00F50FBB" w:rsidRPr="00625B33">
        <w:rPr>
          <w:rFonts w:asciiTheme="majorHAnsi" w:hAnsiTheme="majorHAnsi"/>
        </w:rPr>
        <w:t xml:space="preserve"> and earnings</w:t>
      </w:r>
      <w:r w:rsidR="00350C35" w:rsidRPr="00625B33">
        <w:rPr>
          <w:rFonts w:asciiTheme="majorHAnsi" w:hAnsiTheme="majorHAnsi"/>
        </w:rPr>
        <w:t xml:space="preserve">, making it easy to </w:t>
      </w:r>
      <w:r w:rsidR="003D25F2" w:rsidRPr="00625B33">
        <w:rPr>
          <w:rFonts w:asciiTheme="majorHAnsi" w:hAnsiTheme="majorHAnsi"/>
        </w:rPr>
        <w:t xml:space="preserve">determine </w:t>
      </w:r>
      <w:r w:rsidR="00C6055D" w:rsidRPr="00625B33">
        <w:rPr>
          <w:rFonts w:asciiTheme="majorHAnsi" w:hAnsiTheme="majorHAnsi"/>
        </w:rPr>
        <w:t>whether they’ve</w:t>
      </w:r>
      <w:r w:rsidR="00F50FBB" w:rsidRPr="00625B33">
        <w:rPr>
          <w:rFonts w:asciiTheme="majorHAnsi" w:hAnsiTheme="majorHAnsi"/>
        </w:rPr>
        <w:t xml:space="preserve"> accurately</w:t>
      </w:r>
      <w:r w:rsidR="00C6055D" w:rsidRPr="00625B33">
        <w:rPr>
          <w:rFonts w:asciiTheme="majorHAnsi" w:hAnsiTheme="majorHAnsi"/>
        </w:rPr>
        <w:t xml:space="preserve"> reported</w:t>
      </w:r>
      <w:r w:rsidR="003D25F2" w:rsidRPr="00625B33">
        <w:rPr>
          <w:rFonts w:asciiTheme="majorHAnsi" w:hAnsiTheme="majorHAnsi"/>
        </w:rPr>
        <w:t>.</w:t>
      </w:r>
      <w:r w:rsidR="00B4362A" w:rsidRPr="00625B33">
        <w:rPr>
          <w:rFonts w:asciiTheme="majorHAnsi" w:hAnsiTheme="majorHAnsi"/>
        </w:rPr>
        <w:t xml:space="preserve">  </w:t>
      </w:r>
      <w:r w:rsidR="000B5240" w:rsidRPr="00625B33">
        <w:rPr>
          <w:rFonts w:asciiTheme="majorHAnsi" w:hAnsiTheme="majorHAnsi"/>
        </w:rPr>
        <w:t>Since the players are</w:t>
      </w:r>
      <w:r w:rsidR="00044257" w:rsidRPr="00625B33">
        <w:rPr>
          <w:rFonts w:asciiTheme="majorHAnsi" w:hAnsiTheme="majorHAnsi"/>
        </w:rPr>
        <w:t xml:space="preserve"> audit</w:t>
      </w:r>
      <w:r w:rsidR="000B5240" w:rsidRPr="00625B33">
        <w:rPr>
          <w:rFonts w:asciiTheme="majorHAnsi" w:hAnsiTheme="majorHAnsi"/>
        </w:rPr>
        <w:t xml:space="preserve"> targets, e</w:t>
      </w:r>
      <w:r w:rsidR="0015584C" w:rsidRPr="00625B33">
        <w:rPr>
          <w:rFonts w:asciiTheme="majorHAnsi" w:hAnsiTheme="majorHAnsi"/>
        </w:rPr>
        <w:t>very traveling-member of a team</w:t>
      </w:r>
      <w:r w:rsidR="000B5240" w:rsidRPr="00625B33">
        <w:rPr>
          <w:rFonts w:asciiTheme="majorHAnsi" w:hAnsiTheme="majorHAnsi"/>
        </w:rPr>
        <w:t xml:space="preserve"> including</w:t>
      </w:r>
      <w:r w:rsidR="0015584C" w:rsidRPr="00625B33">
        <w:rPr>
          <w:rFonts w:asciiTheme="majorHAnsi" w:hAnsiTheme="majorHAnsi"/>
        </w:rPr>
        <w:t xml:space="preserve"> coaches, trainers, broadcasters and referees are</w:t>
      </w:r>
      <w:r w:rsidR="00044257" w:rsidRPr="00625B33">
        <w:rPr>
          <w:rFonts w:asciiTheme="majorHAnsi" w:hAnsiTheme="majorHAnsi"/>
        </w:rPr>
        <w:t xml:space="preserve"> targets </w:t>
      </w:r>
      <w:r w:rsidR="000B5240" w:rsidRPr="00625B33">
        <w:rPr>
          <w:rFonts w:asciiTheme="majorHAnsi" w:hAnsiTheme="majorHAnsi"/>
        </w:rPr>
        <w:t>as well</w:t>
      </w:r>
      <w:r w:rsidR="0015584C" w:rsidRPr="00625B33">
        <w:rPr>
          <w:rFonts w:asciiTheme="majorHAnsi" w:hAnsiTheme="majorHAnsi"/>
        </w:rPr>
        <w:t>.</w:t>
      </w:r>
      <w:r w:rsidR="0015584C" w:rsidRPr="00625B33">
        <w:rPr>
          <w:rStyle w:val="FootnoteReference"/>
          <w:rFonts w:asciiTheme="majorHAnsi" w:hAnsiTheme="majorHAnsi"/>
        </w:rPr>
        <w:footnoteReference w:id="3"/>
      </w:r>
      <w:r w:rsidR="0015584C" w:rsidRPr="00625B33">
        <w:rPr>
          <w:rFonts w:asciiTheme="majorHAnsi" w:hAnsiTheme="majorHAnsi"/>
        </w:rPr>
        <w:t xml:space="preserve">  </w:t>
      </w:r>
      <w:r w:rsidR="00EE318B" w:rsidRPr="00625B33">
        <w:rPr>
          <w:rFonts w:asciiTheme="majorHAnsi" w:hAnsiTheme="majorHAnsi"/>
        </w:rPr>
        <w:t xml:space="preserve">Making the issue worse for professional athletes, the Tax Cuts and Jobs Act </w:t>
      </w:r>
      <w:r w:rsidR="00350C35" w:rsidRPr="00625B33">
        <w:rPr>
          <w:rFonts w:asciiTheme="majorHAnsi" w:hAnsiTheme="majorHAnsi"/>
        </w:rPr>
        <w:t xml:space="preserve">now </w:t>
      </w:r>
      <w:r w:rsidR="00EE318B" w:rsidRPr="00625B33">
        <w:rPr>
          <w:rFonts w:asciiTheme="majorHAnsi" w:hAnsiTheme="majorHAnsi"/>
        </w:rPr>
        <w:t>limits t</w:t>
      </w:r>
      <w:r w:rsidR="00C6055D" w:rsidRPr="00625B33">
        <w:rPr>
          <w:rFonts w:asciiTheme="majorHAnsi" w:hAnsiTheme="majorHAnsi"/>
        </w:rPr>
        <w:t>he itemized deduction</w:t>
      </w:r>
      <w:r w:rsidR="00EE318B" w:rsidRPr="00625B33">
        <w:rPr>
          <w:rFonts w:asciiTheme="majorHAnsi" w:hAnsiTheme="majorHAnsi"/>
        </w:rPr>
        <w:t xml:space="preserve"> </w:t>
      </w:r>
      <w:r w:rsidR="00B4362A" w:rsidRPr="00625B33">
        <w:rPr>
          <w:rFonts w:asciiTheme="majorHAnsi" w:hAnsiTheme="majorHAnsi"/>
        </w:rPr>
        <w:t>for state and local taxes</w:t>
      </w:r>
      <w:r w:rsidR="00EE318B" w:rsidRPr="00625B33">
        <w:rPr>
          <w:rFonts w:asciiTheme="majorHAnsi" w:hAnsiTheme="majorHAnsi"/>
        </w:rPr>
        <w:t xml:space="preserve"> to $10,000.00.</w:t>
      </w:r>
      <w:r w:rsidR="00350C35" w:rsidRPr="00625B33">
        <w:rPr>
          <w:rFonts w:asciiTheme="majorHAnsi" w:hAnsiTheme="majorHAnsi"/>
        </w:rPr>
        <w:t xml:space="preserve">  Without question, tax planning for athletes is ne</w:t>
      </w:r>
      <w:r w:rsidR="00044257" w:rsidRPr="00625B33">
        <w:rPr>
          <w:rFonts w:asciiTheme="majorHAnsi" w:hAnsiTheme="majorHAnsi"/>
        </w:rPr>
        <w:t>cessary to avoid overpaying</w:t>
      </w:r>
      <w:r w:rsidR="00350C35" w:rsidRPr="00625B33">
        <w:rPr>
          <w:rFonts w:asciiTheme="majorHAnsi" w:hAnsiTheme="majorHAnsi"/>
        </w:rPr>
        <w:t xml:space="preserve"> on</w:t>
      </w:r>
      <w:r w:rsidR="00044257" w:rsidRPr="00625B33">
        <w:rPr>
          <w:rFonts w:asciiTheme="majorHAnsi" w:hAnsiTheme="majorHAnsi"/>
        </w:rPr>
        <w:t xml:space="preserve"> both</w:t>
      </w:r>
      <w:r w:rsidR="00350C35" w:rsidRPr="00625B33">
        <w:rPr>
          <w:rFonts w:asciiTheme="majorHAnsi" w:hAnsiTheme="majorHAnsi"/>
        </w:rPr>
        <w:t xml:space="preserve"> the federal and state and local levels.</w:t>
      </w:r>
      <w:r w:rsidR="000B5240" w:rsidRPr="00625B33">
        <w:rPr>
          <w:rFonts w:asciiTheme="majorHAnsi" w:hAnsiTheme="majorHAnsi"/>
        </w:rPr>
        <w:t xml:space="preserve">  Now tha</w:t>
      </w:r>
      <w:r w:rsidR="003F407C" w:rsidRPr="00625B33">
        <w:rPr>
          <w:rFonts w:asciiTheme="majorHAnsi" w:hAnsiTheme="majorHAnsi"/>
        </w:rPr>
        <w:t xml:space="preserve">t the SALT deduction is capped, </w:t>
      </w:r>
      <w:r w:rsidR="000B5240" w:rsidRPr="00625B33">
        <w:rPr>
          <w:rFonts w:asciiTheme="majorHAnsi" w:hAnsiTheme="majorHAnsi"/>
        </w:rPr>
        <w:t>professio</w:t>
      </w:r>
      <w:r w:rsidR="003F407C" w:rsidRPr="00625B33">
        <w:rPr>
          <w:rFonts w:asciiTheme="majorHAnsi" w:hAnsiTheme="majorHAnsi"/>
        </w:rPr>
        <w:t xml:space="preserve">nal athletes and team members </w:t>
      </w:r>
      <w:r w:rsidR="00044257" w:rsidRPr="00625B33">
        <w:rPr>
          <w:rFonts w:asciiTheme="majorHAnsi" w:hAnsiTheme="majorHAnsi"/>
        </w:rPr>
        <w:t>should examine and if possible, further</w:t>
      </w:r>
      <w:r w:rsidR="000B5240" w:rsidRPr="00625B33">
        <w:rPr>
          <w:rFonts w:asciiTheme="majorHAnsi" w:hAnsiTheme="majorHAnsi"/>
        </w:rPr>
        <w:t xml:space="preserve"> reduce their SALT exposure.</w:t>
      </w:r>
    </w:p>
    <w:p w:rsidR="008E4C59" w:rsidRPr="00625B33" w:rsidRDefault="00D316E8" w:rsidP="00C6055D">
      <w:pPr>
        <w:rPr>
          <w:rFonts w:asciiTheme="majorHAnsi" w:hAnsiTheme="majorHAnsi"/>
        </w:rPr>
      </w:pPr>
      <w:r w:rsidRPr="00625B33">
        <w:rPr>
          <w:rFonts w:asciiTheme="majorHAnsi" w:hAnsiTheme="majorHAnsi"/>
        </w:rPr>
        <w:t xml:space="preserve">There are a </w:t>
      </w:r>
      <w:r w:rsidR="000B5240" w:rsidRPr="00625B33">
        <w:rPr>
          <w:rFonts w:asciiTheme="majorHAnsi" w:hAnsiTheme="majorHAnsi"/>
        </w:rPr>
        <w:t>few issues that should be at the top of any SALT tax professional</w:t>
      </w:r>
      <w:r w:rsidR="00044257" w:rsidRPr="00625B33">
        <w:rPr>
          <w:rFonts w:asciiTheme="majorHAnsi" w:hAnsiTheme="majorHAnsi"/>
        </w:rPr>
        <w:t>’s list when</w:t>
      </w:r>
      <w:r w:rsidR="000B5240" w:rsidRPr="00625B33">
        <w:rPr>
          <w:rFonts w:asciiTheme="majorHAnsi" w:hAnsiTheme="majorHAnsi"/>
        </w:rPr>
        <w:t xml:space="preserve"> </w:t>
      </w:r>
      <w:r w:rsidR="005E2242" w:rsidRPr="00625B33">
        <w:rPr>
          <w:rFonts w:asciiTheme="majorHAnsi" w:hAnsiTheme="majorHAnsi"/>
        </w:rPr>
        <w:t>tax</w:t>
      </w:r>
      <w:r w:rsidR="00044257" w:rsidRPr="00625B33">
        <w:rPr>
          <w:rFonts w:asciiTheme="majorHAnsi" w:hAnsiTheme="majorHAnsi"/>
        </w:rPr>
        <w:t xml:space="preserve"> planning on behalf of</w:t>
      </w:r>
      <w:r w:rsidR="005E2242" w:rsidRPr="00625B33">
        <w:rPr>
          <w:rFonts w:asciiTheme="majorHAnsi" w:hAnsiTheme="majorHAnsi"/>
        </w:rPr>
        <w:t xml:space="preserve"> a professional athlete.  </w:t>
      </w:r>
      <w:r w:rsidR="00F50FBB" w:rsidRPr="00625B33">
        <w:rPr>
          <w:rFonts w:asciiTheme="majorHAnsi" w:hAnsiTheme="majorHAnsi"/>
        </w:rPr>
        <w:t>One main consideration is whe</w:t>
      </w:r>
      <w:r w:rsidR="00AB1314" w:rsidRPr="00625B33">
        <w:rPr>
          <w:rFonts w:asciiTheme="majorHAnsi" w:hAnsiTheme="majorHAnsi"/>
        </w:rPr>
        <w:t>re an athlete chooses to live</w:t>
      </w:r>
      <w:r w:rsidR="000B5240" w:rsidRPr="00625B33">
        <w:rPr>
          <w:rFonts w:asciiTheme="majorHAnsi" w:hAnsiTheme="majorHAnsi"/>
        </w:rPr>
        <w:t>.  T</w:t>
      </w:r>
      <w:r w:rsidR="00AB1314" w:rsidRPr="00625B33">
        <w:rPr>
          <w:rFonts w:asciiTheme="majorHAnsi" w:hAnsiTheme="majorHAnsi"/>
        </w:rPr>
        <w:t xml:space="preserve">he choice of legal </w:t>
      </w:r>
      <w:r w:rsidR="00F50FBB" w:rsidRPr="00625B33">
        <w:rPr>
          <w:rFonts w:asciiTheme="majorHAnsi" w:hAnsiTheme="majorHAnsi"/>
        </w:rPr>
        <w:t>d</w:t>
      </w:r>
      <w:r w:rsidR="00350C35" w:rsidRPr="00625B33">
        <w:rPr>
          <w:rFonts w:asciiTheme="majorHAnsi" w:hAnsiTheme="majorHAnsi"/>
        </w:rPr>
        <w:t>omicile or permanent-</w:t>
      </w:r>
      <w:r w:rsidR="00493E18" w:rsidRPr="00625B33">
        <w:rPr>
          <w:rFonts w:asciiTheme="majorHAnsi" w:hAnsiTheme="majorHAnsi"/>
        </w:rPr>
        <w:t xml:space="preserve">residence </w:t>
      </w:r>
      <w:r w:rsidR="009B09B2" w:rsidRPr="00625B33">
        <w:rPr>
          <w:rFonts w:asciiTheme="majorHAnsi" w:hAnsiTheme="majorHAnsi"/>
        </w:rPr>
        <w:t xml:space="preserve">can dramatically </w:t>
      </w:r>
      <w:r w:rsidR="00493E18" w:rsidRPr="00625B33">
        <w:rPr>
          <w:rFonts w:asciiTheme="majorHAnsi" w:hAnsiTheme="majorHAnsi"/>
        </w:rPr>
        <w:t xml:space="preserve">reduce </w:t>
      </w:r>
      <w:r w:rsidR="005E2242" w:rsidRPr="00625B33">
        <w:rPr>
          <w:rFonts w:asciiTheme="majorHAnsi" w:hAnsiTheme="majorHAnsi"/>
        </w:rPr>
        <w:t>an athlete’s overall effective tax liability</w:t>
      </w:r>
      <w:r w:rsidR="00D265AB" w:rsidRPr="00625B33">
        <w:rPr>
          <w:rFonts w:asciiTheme="majorHAnsi" w:hAnsiTheme="majorHAnsi"/>
        </w:rPr>
        <w:t>.  For example, Florida has no income tax</w:t>
      </w:r>
      <w:r w:rsidR="005E2242" w:rsidRPr="00625B33">
        <w:rPr>
          <w:rFonts w:asciiTheme="majorHAnsi" w:hAnsiTheme="majorHAnsi"/>
        </w:rPr>
        <w:t xml:space="preserve"> – when a professional athlete </w:t>
      </w:r>
      <w:r w:rsidR="00AB1314" w:rsidRPr="00625B33">
        <w:rPr>
          <w:rFonts w:asciiTheme="majorHAnsi" w:hAnsiTheme="majorHAnsi"/>
        </w:rPr>
        <w:t xml:space="preserve">is domiciled in Florida and never leaves, </w:t>
      </w:r>
      <w:r w:rsidR="005E2242" w:rsidRPr="00625B33">
        <w:rPr>
          <w:rFonts w:asciiTheme="majorHAnsi" w:hAnsiTheme="majorHAnsi"/>
        </w:rPr>
        <w:t xml:space="preserve">then </w:t>
      </w:r>
      <w:r w:rsidR="00AB1314" w:rsidRPr="00625B33">
        <w:rPr>
          <w:rFonts w:asciiTheme="majorHAnsi" w:hAnsiTheme="majorHAnsi"/>
        </w:rPr>
        <w:t>they will have no foreign state and local</w:t>
      </w:r>
      <w:r w:rsidR="005E2242" w:rsidRPr="00625B33">
        <w:rPr>
          <w:rFonts w:asciiTheme="majorHAnsi" w:hAnsiTheme="majorHAnsi"/>
        </w:rPr>
        <w:t xml:space="preserve"> tax </w:t>
      </w:r>
      <w:r w:rsidR="00AB1314" w:rsidRPr="00625B33">
        <w:rPr>
          <w:rFonts w:asciiTheme="majorHAnsi" w:hAnsiTheme="majorHAnsi"/>
        </w:rPr>
        <w:t>exposure</w:t>
      </w:r>
      <w:r w:rsidR="005E2242" w:rsidRPr="00625B33">
        <w:rPr>
          <w:rFonts w:asciiTheme="majorHAnsi" w:hAnsiTheme="majorHAnsi"/>
        </w:rPr>
        <w:t xml:space="preserve">.  Of course, most professional athletes must travel, but </w:t>
      </w:r>
      <w:r w:rsidR="00AB1314" w:rsidRPr="00625B33">
        <w:rPr>
          <w:rFonts w:asciiTheme="majorHAnsi" w:hAnsiTheme="majorHAnsi"/>
        </w:rPr>
        <w:t xml:space="preserve">when </w:t>
      </w:r>
      <w:r w:rsidR="005E2242" w:rsidRPr="00625B33">
        <w:rPr>
          <w:rFonts w:asciiTheme="majorHAnsi" w:hAnsiTheme="majorHAnsi"/>
        </w:rPr>
        <w:t>the majority of their work activities</w:t>
      </w:r>
      <w:r w:rsidR="00AB1314" w:rsidRPr="00625B33">
        <w:rPr>
          <w:rFonts w:asciiTheme="majorHAnsi" w:hAnsiTheme="majorHAnsi"/>
        </w:rPr>
        <w:t xml:space="preserve"> </w:t>
      </w:r>
      <w:r w:rsidR="008E4643" w:rsidRPr="00625B33">
        <w:rPr>
          <w:rFonts w:asciiTheme="majorHAnsi" w:hAnsiTheme="majorHAnsi"/>
        </w:rPr>
        <w:t xml:space="preserve">take place in their state of domicile </w:t>
      </w:r>
      <w:r w:rsidR="008E4C59" w:rsidRPr="00625B33">
        <w:rPr>
          <w:rFonts w:asciiTheme="majorHAnsi" w:hAnsiTheme="majorHAnsi"/>
        </w:rPr>
        <w:t>and</w:t>
      </w:r>
      <w:r w:rsidR="00AB1314" w:rsidRPr="00625B33">
        <w:rPr>
          <w:rFonts w:asciiTheme="majorHAnsi" w:hAnsiTheme="majorHAnsi"/>
        </w:rPr>
        <w:t xml:space="preserve"> non-tax jurisdictions,</w:t>
      </w:r>
      <w:r w:rsidR="008E4C59" w:rsidRPr="00625B33">
        <w:rPr>
          <w:rFonts w:asciiTheme="majorHAnsi" w:hAnsiTheme="majorHAnsi"/>
        </w:rPr>
        <w:t xml:space="preserve"> they are able to substantially reduce their non-resident tax exposure.  E</w:t>
      </w:r>
      <w:r w:rsidR="000C6254" w:rsidRPr="00625B33">
        <w:rPr>
          <w:rFonts w:asciiTheme="majorHAnsi" w:hAnsiTheme="majorHAnsi"/>
        </w:rPr>
        <w:t>xemptions</w:t>
      </w:r>
      <w:r w:rsidR="008E4643" w:rsidRPr="00625B33">
        <w:rPr>
          <w:rFonts w:asciiTheme="majorHAnsi" w:hAnsiTheme="majorHAnsi"/>
        </w:rPr>
        <w:t xml:space="preserve"> </w:t>
      </w:r>
      <w:r w:rsidR="00AB1314" w:rsidRPr="00625B33">
        <w:rPr>
          <w:rFonts w:asciiTheme="majorHAnsi" w:hAnsiTheme="majorHAnsi"/>
        </w:rPr>
        <w:t>and reciprocal agreements</w:t>
      </w:r>
      <w:r w:rsidR="00792B19" w:rsidRPr="00625B33">
        <w:rPr>
          <w:rStyle w:val="FootnoteReference"/>
          <w:rFonts w:asciiTheme="majorHAnsi" w:hAnsiTheme="majorHAnsi"/>
        </w:rPr>
        <w:footnoteReference w:id="4"/>
      </w:r>
      <w:r w:rsidR="008E4643" w:rsidRPr="00625B33">
        <w:rPr>
          <w:rFonts w:asciiTheme="majorHAnsi" w:hAnsiTheme="majorHAnsi"/>
        </w:rPr>
        <w:t xml:space="preserve"> </w:t>
      </w:r>
      <w:r w:rsidR="00E96D77" w:rsidRPr="00625B33">
        <w:rPr>
          <w:rFonts w:asciiTheme="majorHAnsi" w:hAnsiTheme="majorHAnsi"/>
        </w:rPr>
        <w:t>can provide a substantial amount of tax relief</w:t>
      </w:r>
      <w:r w:rsidR="008E4C59" w:rsidRPr="00625B33">
        <w:rPr>
          <w:rFonts w:asciiTheme="majorHAnsi" w:hAnsiTheme="majorHAnsi"/>
        </w:rPr>
        <w:t xml:space="preserve"> as well, but when they are un</w:t>
      </w:r>
      <w:r w:rsidR="008D6385" w:rsidRPr="00625B33">
        <w:rPr>
          <w:rFonts w:asciiTheme="majorHAnsi" w:hAnsiTheme="majorHAnsi"/>
        </w:rPr>
        <w:t xml:space="preserve">available, </w:t>
      </w:r>
      <w:r w:rsidR="008E4C59" w:rsidRPr="00625B33">
        <w:rPr>
          <w:rFonts w:asciiTheme="majorHAnsi" w:hAnsiTheme="majorHAnsi"/>
        </w:rPr>
        <w:t xml:space="preserve">we have to seek other ways to reduce their non-resident tax exposure.  </w:t>
      </w:r>
      <w:r w:rsidR="008E4C59" w:rsidRPr="00625B33">
        <w:rPr>
          <w:rFonts w:asciiTheme="majorHAnsi" w:hAnsiTheme="majorHAnsi"/>
          <w:i/>
        </w:rPr>
        <w:t>In some cases, challenging the apportionment formula methodologies employed by states and municipalities in application to non-resident professional athletes could further reduce their non-resident tax exposure.</w:t>
      </w:r>
    </w:p>
    <w:p w:rsidR="00473B81" w:rsidRPr="00625B33" w:rsidRDefault="0015584C" w:rsidP="00C6055D">
      <w:pPr>
        <w:rPr>
          <w:rFonts w:asciiTheme="majorHAnsi" w:hAnsiTheme="majorHAnsi"/>
        </w:rPr>
      </w:pPr>
      <w:r w:rsidRPr="00625B33">
        <w:rPr>
          <w:rFonts w:asciiTheme="majorHAnsi" w:hAnsiTheme="majorHAnsi"/>
        </w:rPr>
        <w:lastRenderedPageBreak/>
        <w:t>Multiple methods exist for</w:t>
      </w:r>
      <w:r w:rsidR="007F2847" w:rsidRPr="00625B33">
        <w:rPr>
          <w:rFonts w:asciiTheme="majorHAnsi" w:hAnsiTheme="majorHAnsi"/>
        </w:rPr>
        <w:t xml:space="preserve"> apportion</w:t>
      </w:r>
      <w:r w:rsidRPr="00625B33">
        <w:rPr>
          <w:rFonts w:asciiTheme="majorHAnsi" w:hAnsiTheme="majorHAnsi"/>
        </w:rPr>
        <w:t>ing</w:t>
      </w:r>
      <w:r w:rsidR="007F2847" w:rsidRPr="00625B33">
        <w:rPr>
          <w:rFonts w:asciiTheme="majorHAnsi" w:hAnsiTheme="majorHAnsi"/>
        </w:rPr>
        <w:t xml:space="preserve"> income on the state and local level.  </w:t>
      </w:r>
      <w:r w:rsidR="007D1B41" w:rsidRPr="00625B33">
        <w:rPr>
          <w:rFonts w:asciiTheme="majorHAnsi" w:hAnsiTheme="majorHAnsi"/>
        </w:rPr>
        <w:t>The two main approaches employed by states and municipalities distinguish between unitary business and non-business income.  With regard to</w:t>
      </w:r>
      <w:r w:rsidR="00473B81" w:rsidRPr="00625B33">
        <w:rPr>
          <w:rFonts w:asciiTheme="majorHAnsi" w:hAnsiTheme="majorHAnsi"/>
        </w:rPr>
        <w:t xml:space="preserve"> unitary</w:t>
      </w:r>
      <w:r w:rsidR="007D1B41" w:rsidRPr="00625B33">
        <w:rPr>
          <w:rFonts w:asciiTheme="majorHAnsi" w:hAnsiTheme="majorHAnsi"/>
        </w:rPr>
        <w:t xml:space="preserve"> business income, various apportionment formulas are applied, while nonbusiness income must usually be more specifically allocated to that place where the particular increment of income is earned.</w:t>
      </w:r>
      <w:r w:rsidR="007D1B41" w:rsidRPr="00625B33">
        <w:rPr>
          <w:rStyle w:val="FootnoteReference"/>
          <w:rFonts w:asciiTheme="majorHAnsi" w:hAnsiTheme="majorHAnsi"/>
        </w:rPr>
        <w:footnoteReference w:id="5"/>
      </w:r>
      <w:r w:rsidR="007D1B41" w:rsidRPr="00625B33">
        <w:rPr>
          <w:rFonts w:asciiTheme="majorHAnsi" w:hAnsiTheme="majorHAnsi"/>
        </w:rPr>
        <w:t xml:space="preserve">  </w:t>
      </w:r>
    </w:p>
    <w:p w:rsidR="007D1B41" w:rsidRPr="00625B33" w:rsidRDefault="00AD6F31" w:rsidP="00C6055D">
      <w:pPr>
        <w:rPr>
          <w:rFonts w:asciiTheme="majorHAnsi" w:hAnsiTheme="majorHAnsi"/>
        </w:rPr>
      </w:pPr>
      <w:r w:rsidRPr="00625B33">
        <w:rPr>
          <w:rFonts w:asciiTheme="majorHAnsi" w:hAnsiTheme="majorHAnsi"/>
        </w:rPr>
        <w:t>The formula</w:t>
      </w:r>
      <w:r w:rsidR="007F2847" w:rsidRPr="00625B33">
        <w:rPr>
          <w:rFonts w:asciiTheme="majorHAnsi" w:hAnsiTheme="majorHAnsi"/>
        </w:rPr>
        <w:t>s</w:t>
      </w:r>
      <w:r w:rsidRPr="00625B33">
        <w:rPr>
          <w:rFonts w:asciiTheme="majorHAnsi" w:hAnsiTheme="majorHAnsi"/>
        </w:rPr>
        <w:t xml:space="preserve"> used </w:t>
      </w:r>
      <w:r w:rsidR="007F2847" w:rsidRPr="00625B33">
        <w:rPr>
          <w:rFonts w:asciiTheme="majorHAnsi" w:hAnsiTheme="majorHAnsi"/>
        </w:rPr>
        <w:t>by states and municipalities to apportion a</w:t>
      </w:r>
      <w:r w:rsidRPr="00625B33">
        <w:rPr>
          <w:rFonts w:asciiTheme="majorHAnsi" w:hAnsiTheme="majorHAnsi"/>
        </w:rPr>
        <w:t xml:space="preserve"> professional athletes</w:t>
      </w:r>
      <w:r w:rsidR="007F2847" w:rsidRPr="00625B33">
        <w:rPr>
          <w:rFonts w:asciiTheme="majorHAnsi" w:hAnsiTheme="majorHAnsi"/>
        </w:rPr>
        <w:t>’ income to that state,</w:t>
      </w:r>
      <w:r w:rsidR="007D1B41" w:rsidRPr="00625B33">
        <w:rPr>
          <w:rFonts w:asciiTheme="majorHAnsi" w:hAnsiTheme="majorHAnsi"/>
        </w:rPr>
        <w:t xml:space="preserve"> among others,</w:t>
      </w:r>
      <w:r w:rsidRPr="00625B33">
        <w:rPr>
          <w:rFonts w:asciiTheme="majorHAnsi" w:hAnsiTheme="majorHAnsi"/>
        </w:rPr>
        <w:t xml:space="preserve"> include the </w:t>
      </w:r>
      <w:r w:rsidR="00E22E5B" w:rsidRPr="00625B33">
        <w:rPr>
          <w:rFonts w:asciiTheme="majorHAnsi" w:hAnsiTheme="majorHAnsi"/>
        </w:rPr>
        <w:t>“games played” and “</w:t>
      </w:r>
      <w:r w:rsidRPr="00625B33">
        <w:rPr>
          <w:rFonts w:asciiTheme="majorHAnsi" w:hAnsiTheme="majorHAnsi"/>
        </w:rPr>
        <w:t>duty days</w:t>
      </w:r>
      <w:r w:rsidR="007F2847" w:rsidRPr="00625B33">
        <w:rPr>
          <w:rFonts w:asciiTheme="majorHAnsi" w:hAnsiTheme="majorHAnsi"/>
        </w:rPr>
        <w:t>” methods</w:t>
      </w:r>
      <w:r w:rsidRPr="00625B33">
        <w:rPr>
          <w:rFonts w:asciiTheme="majorHAnsi" w:hAnsiTheme="majorHAnsi"/>
        </w:rPr>
        <w:t>.  The games played method is based on the number of games played in a state or municipality, over the total number of games played</w:t>
      </w:r>
      <w:r w:rsidR="007F2847" w:rsidRPr="00625B33">
        <w:rPr>
          <w:rFonts w:asciiTheme="majorHAnsi" w:hAnsiTheme="majorHAnsi"/>
        </w:rPr>
        <w:t>.  The duty d</w:t>
      </w:r>
      <w:r w:rsidRPr="00625B33">
        <w:rPr>
          <w:rFonts w:asciiTheme="majorHAnsi" w:hAnsiTheme="majorHAnsi"/>
        </w:rPr>
        <w:t>ays method is based on earnings in a state or municipality from services performed under a contract from the beginning of an official preseason activity until the last game played</w:t>
      </w:r>
      <w:r w:rsidR="007F2847" w:rsidRPr="00625B33">
        <w:rPr>
          <w:rFonts w:asciiTheme="majorHAnsi" w:hAnsiTheme="majorHAnsi"/>
        </w:rPr>
        <w:t xml:space="preserve">, over the total of the same.  </w:t>
      </w:r>
      <w:r w:rsidR="000C6254" w:rsidRPr="00625B33">
        <w:rPr>
          <w:rFonts w:asciiTheme="majorHAnsi" w:hAnsiTheme="majorHAnsi"/>
        </w:rPr>
        <w:t>Both</w:t>
      </w:r>
      <w:r w:rsidR="007F2847" w:rsidRPr="00625B33">
        <w:rPr>
          <w:rFonts w:asciiTheme="majorHAnsi" w:hAnsiTheme="majorHAnsi"/>
        </w:rPr>
        <w:t xml:space="preserve"> the games played and duty days formulas produce a ratio</w:t>
      </w:r>
      <w:r w:rsidR="00296FE4" w:rsidRPr="00625B33">
        <w:rPr>
          <w:rFonts w:asciiTheme="majorHAnsi" w:hAnsiTheme="majorHAnsi"/>
        </w:rPr>
        <w:t xml:space="preserve"> which is multiplied by the total amount of the players games or compensation resulting in the</w:t>
      </w:r>
      <w:r w:rsidR="00FD3870" w:rsidRPr="00625B33">
        <w:rPr>
          <w:rFonts w:asciiTheme="majorHAnsi" w:hAnsiTheme="majorHAnsi"/>
        </w:rPr>
        <w:t xml:space="preserve"> amount of an athlete’s</w:t>
      </w:r>
      <w:r w:rsidR="00296FE4" w:rsidRPr="00625B33">
        <w:rPr>
          <w:rFonts w:asciiTheme="majorHAnsi" w:hAnsiTheme="majorHAnsi"/>
        </w:rPr>
        <w:t xml:space="preserve"> income sourced to the jurisdiction. </w:t>
      </w:r>
      <w:r w:rsidR="007F2847" w:rsidRPr="00625B33">
        <w:rPr>
          <w:rFonts w:asciiTheme="majorHAnsi" w:hAnsiTheme="majorHAnsi"/>
        </w:rPr>
        <w:t xml:space="preserve"> </w:t>
      </w:r>
    </w:p>
    <w:p w:rsidR="00402983" w:rsidRPr="00625B33" w:rsidRDefault="007D1B41" w:rsidP="00C6055D">
      <w:pPr>
        <w:rPr>
          <w:rFonts w:asciiTheme="majorHAnsi" w:hAnsiTheme="majorHAnsi"/>
        </w:rPr>
      </w:pPr>
      <w:r w:rsidRPr="00625B33">
        <w:rPr>
          <w:rFonts w:asciiTheme="majorHAnsi" w:hAnsiTheme="majorHAnsi"/>
        </w:rPr>
        <w:t xml:space="preserve">The </w:t>
      </w:r>
      <w:r w:rsidR="00402983" w:rsidRPr="00625B33">
        <w:rPr>
          <w:rFonts w:asciiTheme="majorHAnsi" w:hAnsiTheme="majorHAnsi"/>
        </w:rPr>
        <w:t>application of a different formula to the same person can result in different amount of taxes owed to different jurisdictions, even when they spend an identical amount of time in jurisdictions with the same tax rate.  Complexit</w:t>
      </w:r>
      <w:r w:rsidRPr="00625B33">
        <w:rPr>
          <w:rFonts w:asciiTheme="majorHAnsi" w:hAnsiTheme="majorHAnsi"/>
        </w:rPr>
        <w:t>y, the cost</w:t>
      </w:r>
      <w:r w:rsidR="00402983" w:rsidRPr="00625B33">
        <w:rPr>
          <w:rFonts w:asciiTheme="majorHAnsi" w:hAnsiTheme="majorHAnsi"/>
        </w:rPr>
        <w:t xml:space="preserve"> of compliance and sometimes huge differences in effective tax rates would seem to warrant c</w:t>
      </w:r>
      <w:r w:rsidR="00273E8C" w:rsidRPr="00625B33">
        <w:rPr>
          <w:rFonts w:asciiTheme="majorHAnsi" w:hAnsiTheme="majorHAnsi"/>
        </w:rPr>
        <w:t xml:space="preserve">hallenging a state or local income tax </w:t>
      </w:r>
      <w:r w:rsidR="00402983" w:rsidRPr="00625B33">
        <w:rPr>
          <w:rFonts w:asciiTheme="majorHAnsi" w:hAnsiTheme="majorHAnsi"/>
        </w:rPr>
        <w:t xml:space="preserve">on the basis of their choice of </w:t>
      </w:r>
      <w:r w:rsidR="00266CDF" w:rsidRPr="00625B33">
        <w:rPr>
          <w:rFonts w:asciiTheme="majorHAnsi" w:hAnsiTheme="majorHAnsi"/>
        </w:rPr>
        <w:t>method</w:t>
      </w:r>
      <w:r w:rsidRPr="00625B33">
        <w:rPr>
          <w:rFonts w:asciiTheme="majorHAnsi" w:hAnsiTheme="majorHAnsi"/>
        </w:rPr>
        <w:t>.  A</w:t>
      </w:r>
      <w:r w:rsidR="00F7334E" w:rsidRPr="00625B33">
        <w:rPr>
          <w:rFonts w:asciiTheme="majorHAnsi" w:hAnsiTheme="majorHAnsi"/>
        </w:rPr>
        <w:t>s a general rule, unless an</w:t>
      </w:r>
      <w:r w:rsidR="00402983" w:rsidRPr="00625B33">
        <w:rPr>
          <w:rFonts w:asciiTheme="majorHAnsi" w:hAnsiTheme="majorHAnsi"/>
        </w:rPr>
        <w:t xml:space="preserve"> application of the method is</w:t>
      </w:r>
      <w:r w:rsidR="00F7334E" w:rsidRPr="00625B33">
        <w:rPr>
          <w:rFonts w:asciiTheme="majorHAnsi" w:hAnsiTheme="majorHAnsi"/>
        </w:rPr>
        <w:t xml:space="preserve"> found to be</w:t>
      </w:r>
      <w:r w:rsidR="00402983" w:rsidRPr="00625B33">
        <w:rPr>
          <w:rFonts w:asciiTheme="majorHAnsi" w:hAnsiTheme="majorHAnsi"/>
        </w:rPr>
        <w:t xml:space="preserve"> unconstitutional, challenging </w:t>
      </w:r>
      <w:r w:rsidR="00F05077" w:rsidRPr="00625B33">
        <w:rPr>
          <w:rFonts w:asciiTheme="majorHAnsi" w:hAnsiTheme="majorHAnsi"/>
        </w:rPr>
        <w:t xml:space="preserve">the legitimacy of an </w:t>
      </w:r>
      <w:r w:rsidR="00402983" w:rsidRPr="00625B33">
        <w:rPr>
          <w:rFonts w:asciiTheme="majorHAnsi" w:hAnsiTheme="majorHAnsi"/>
        </w:rPr>
        <w:t>apportionment methodology</w:t>
      </w:r>
      <w:r w:rsidR="00F05077" w:rsidRPr="00625B33">
        <w:rPr>
          <w:rFonts w:asciiTheme="majorHAnsi" w:hAnsiTheme="majorHAnsi"/>
        </w:rPr>
        <w:t xml:space="preserve"> on its face is challenging</w:t>
      </w:r>
      <w:r w:rsidR="00402983" w:rsidRPr="00625B33">
        <w:rPr>
          <w:rFonts w:asciiTheme="majorHAnsi" w:hAnsiTheme="majorHAnsi"/>
        </w:rPr>
        <w:t xml:space="preserve"> at best.</w:t>
      </w:r>
    </w:p>
    <w:p w:rsidR="001F128D" w:rsidRPr="00625B33" w:rsidRDefault="00DA5936" w:rsidP="00C6055D">
      <w:pPr>
        <w:rPr>
          <w:rFonts w:asciiTheme="majorHAnsi" w:hAnsiTheme="majorHAnsi"/>
        </w:rPr>
      </w:pPr>
      <w:r w:rsidRPr="00625B33">
        <w:rPr>
          <w:rFonts w:asciiTheme="majorHAnsi" w:hAnsiTheme="majorHAnsi"/>
        </w:rPr>
        <w:t>The federal definition of wages does not specifically address how to apportion or allocate income; barring a U.S. Constitutional challenge, this leaves it up to the state</w:t>
      </w:r>
      <w:r w:rsidR="00D41427" w:rsidRPr="00625B33">
        <w:rPr>
          <w:rFonts w:asciiTheme="majorHAnsi" w:hAnsiTheme="majorHAnsi"/>
        </w:rPr>
        <w:t>’</w:t>
      </w:r>
      <w:r w:rsidRPr="00625B33">
        <w:rPr>
          <w:rFonts w:asciiTheme="majorHAnsi" w:hAnsiTheme="majorHAnsi"/>
        </w:rPr>
        <w:t xml:space="preserve">s broad authority to adopt an apportionment methodology proper for that jurisdiction.  States generally follow the same protocol with their municipalities – unless a </w:t>
      </w:r>
      <w:r w:rsidR="00D41427" w:rsidRPr="00625B33">
        <w:rPr>
          <w:rFonts w:asciiTheme="majorHAnsi" w:hAnsiTheme="majorHAnsi"/>
        </w:rPr>
        <w:t>“</w:t>
      </w:r>
      <w:r w:rsidRPr="00625B33">
        <w:rPr>
          <w:rFonts w:asciiTheme="majorHAnsi" w:hAnsiTheme="majorHAnsi"/>
        </w:rPr>
        <w:t>provision of state law expressly imposes the restriction</w:t>
      </w:r>
      <w:r w:rsidR="00D41427" w:rsidRPr="00625B33">
        <w:rPr>
          <w:rFonts w:asciiTheme="majorHAnsi" w:hAnsiTheme="majorHAnsi"/>
        </w:rPr>
        <w:t>”</w:t>
      </w:r>
      <w:r w:rsidRPr="00625B33">
        <w:rPr>
          <w:rFonts w:asciiTheme="majorHAnsi" w:hAnsiTheme="majorHAnsi"/>
        </w:rPr>
        <w:t xml:space="preserve"> [on apportionment], municipalities enjoy </w:t>
      </w:r>
      <w:r w:rsidR="00D41427" w:rsidRPr="00625B33">
        <w:rPr>
          <w:rFonts w:asciiTheme="majorHAnsi" w:hAnsiTheme="majorHAnsi"/>
        </w:rPr>
        <w:t xml:space="preserve">like-kind </w:t>
      </w:r>
      <w:r w:rsidRPr="00625B33">
        <w:rPr>
          <w:rFonts w:asciiTheme="majorHAnsi" w:hAnsiTheme="majorHAnsi"/>
        </w:rPr>
        <w:t>home</w:t>
      </w:r>
      <w:r w:rsidR="00D41427" w:rsidRPr="00625B33">
        <w:rPr>
          <w:rFonts w:asciiTheme="majorHAnsi" w:hAnsiTheme="majorHAnsi"/>
        </w:rPr>
        <w:t>-rule authority.</w:t>
      </w:r>
      <w:r w:rsidR="00D41427" w:rsidRPr="00625B33">
        <w:rPr>
          <w:rStyle w:val="FootnoteReference"/>
          <w:rFonts w:asciiTheme="majorHAnsi" w:hAnsiTheme="majorHAnsi"/>
        </w:rPr>
        <w:footnoteReference w:id="6"/>
      </w:r>
      <w:r w:rsidR="007F2847" w:rsidRPr="00625B33">
        <w:rPr>
          <w:rFonts w:asciiTheme="majorHAnsi" w:hAnsiTheme="majorHAnsi"/>
        </w:rPr>
        <w:t xml:space="preserve">  In English, that means s</w:t>
      </w:r>
      <w:r w:rsidR="00A67C34" w:rsidRPr="00625B33">
        <w:rPr>
          <w:rFonts w:asciiTheme="majorHAnsi" w:hAnsiTheme="majorHAnsi"/>
        </w:rPr>
        <w:t xml:space="preserve">tates and localities are generally free to come up with their own formulas, </w:t>
      </w:r>
      <w:r w:rsidR="00A67C34" w:rsidRPr="00625B33">
        <w:rPr>
          <w:rFonts w:asciiTheme="majorHAnsi" w:hAnsiTheme="majorHAnsi"/>
          <w:b/>
          <w:u w:val="single"/>
        </w:rPr>
        <w:t>but this is not without limitation as in application,</w:t>
      </w:r>
      <w:r w:rsidR="00F51067" w:rsidRPr="00625B33">
        <w:rPr>
          <w:rFonts w:asciiTheme="majorHAnsi" w:hAnsiTheme="majorHAnsi"/>
          <w:b/>
          <w:u w:val="single"/>
        </w:rPr>
        <w:t xml:space="preserve"> a</w:t>
      </w:r>
      <w:r w:rsidR="007F2847" w:rsidRPr="00625B33">
        <w:rPr>
          <w:rFonts w:asciiTheme="majorHAnsi" w:hAnsiTheme="majorHAnsi"/>
          <w:b/>
          <w:u w:val="single"/>
        </w:rPr>
        <w:t xml:space="preserve"> formula may effectively violate</w:t>
      </w:r>
      <w:r w:rsidR="00A67C34" w:rsidRPr="00625B33">
        <w:rPr>
          <w:rFonts w:asciiTheme="majorHAnsi" w:hAnsiTheme="majorHAnsi"/>
          <w:b/>
          <w:u w:val="single"/>
        </w:rPr>
        <w:t xml:space="preserve"> </w:t>
      </w:r>
      <w:r w:rsidR="00EC3BF8" w:rsidRPr="00625B33">
        <w:rPr>
          <w:rFonts w:asciiTheme="majorHAnsi" w:hAnsiTheme="majorHAnsi"/>
          <w:b/>
          <w:u w:val="single"/>
        </w:rPr>
        <w:t>Due Process</w:t>
      </w:r>
      <w:r w:rsidR="00EC3BF8" w:rsidRPr="00625B33">
        <w:rPr>
          <w:rFonts w:asciiTheme="majorHAnsi" w:hAnsiTheme="majorHAnsi"/>
          <w:b/>
        </w:rPr>
        <w:t xml:space="preserve">.  </w:t>
      </w:r>
      <w:r w:rsidR="00585033" w:rsidRPr="00625B33">
        <w:rPr>
          <w:rFonts w:asciiTheme="majorHAnsi" w:hAnsiTheme="majorHAnsi"/>
        </w:rPr>
        <w:t>In the most recent Ohio Supreme Court case on point, the games-played method was successfully challenged by two NFL players</w:t>
      </w:r>
      <w:r w:rsidR="002F7E39" w:rsidRPr="00625B33">
        <w:rPr>
          <w:rFonts w:asciiTheme="majorHAnsi" w:hAnsiTheme="majorHAnsi"/>
        </w:rPr>
        <w:t xml:space="preserve"> as</w:t>
      </w:r>
      <w:r w:rsidR="00585033" w:rsidRPr="00625B33">
        <w:rPr>
          <w:rFonts w:asciiTheme="majorHAnsi" w:hAnsiTheme="majorHAnsi"/>
        </w:rPr>
        <w:t xml:space="preserve"> a violation of the Due Process Clause.</w:t>
      </w:r>
      <w:r w:rsidR="00585033" w:rsidRPr="00625B33">
        <w:rPr>
          <w:rStyle w:val="FootnoteReference"/>
          <w:rFonts w:asciiTheme="majorHAnsi" w:hAnsiTheme="majorHAnsi"/>
        </w:rPr>
        <w:footnoteReference w:id="7"/>
      </w:r>
      <w:r w:rsidR="001F128D" w:rsidRPr="00625B33">
        <w:rPr>
          <w:rFonts w:asciiTheme="majorHAnsi" w:hAnsiTheme="majorHAnsi"/>
        </w:rPr>
        <w:t xml:space="preserve">  </w:t>
      </w:r>
    </w:p>
    <w:p w:rsidR="001A07B5" w:rsidRDefault="00473B81" w:rsidP="001F128D">
      <w:pPr>
        <w:rPr>
          <w:rFonts w:asciiTheme="majorHAnsi" w:hAnsiTheme="majorHAnsi"/>
        </w:rPr>
      </w:pPr>
      <w:r w:rsidRPr="00625B33">
        <w:rPr>
          <w:rFonts w:asciiTheme="majorHAnsi" w:hAnsiTheme="majorHAnsi"/>
        </w:rPr>
        <w:t xml:space="preserve">In  </w:t>
      </w:r>
      <w:r w:rsidRPr="00625B33">
        <w:rPr>
          <w:rFonts w:asciiTheme="majorHAnsi" w:hAnsiTheme="majorHAnsi"/>
          <w:u w:val="single"/>
        </w:rPr>
        <w:t>Hillenmeyer v. Cleveland Board of Review</w:t>
      </w:r>
      <w:r w:rsidRPr="00625B33">
        <w:rPr>
          <w:rFonts w:asciiTheme="majorHAnsi" w:hAnsiTheme="majorHAnsi"/>
        </w:rPr>
        <w:t>,</w:t>
      </w:r>
      <w:r w:rsidR="001F128D" w:rsidRPr="00625B33">
        <w:rPr>
          <w:rFonts w:asciiTheme="majorHAnsi" w:hAnsiTheme="majorHAnsi"/>
        </w:rPr>
        <w:t xml:space="preserve"> t</w:t>
      </w:r>
      <w:r w:rsidR="00585033" w:rsidRPr="00625B33">
        <w:rPr>
          <w:rFonts w:asciiTheme="majorHAnsi" w:hAnsiTheme="majorHAnsi"/>
        </w:rPr>
        <w:t xml:space="preserve">he court found that </w:t>
      </w:r>
      <w:r w:rsidR="00E22E5B" w:rsidRPr="00625B33">
        <w:rPr>
          <w:rFonts w:asciiTheme="majorHAnsi" w:hAnsiTheme="majorHAnsi"/>
        </w:rPr>
        <w:t xml:space="preserve">“the games-played method of determining the tax base fails to afford due process when applied to [non-resident] NFL players” because </w:t>
      </w:r>
      <w:r w:rsidR="001F128D" w:rsidRPr="00625B33">
        <w:rPr>
          <w:rFonts w:asciiTheme="majorHAnsi" w:hAnsiTheme="majorHAnsi"/>
        </w:rPr>
        <w:t>it reached</w:t>
      </w:r>
      <w:r w:rsidR="00E22E5B" w:rsidRPr="00625B33">
        <w:rPr>
          <w:rFonts w:asciiTheme="majorHAnsi" w:hAnsiTheme="majorHAnsi"/>
        </w:rPr>
        <w:t xml:space="preserve"> a portion of the non-resident’</w:t>
      </w:r>
      <w:r w:rsidR="002703D7" w:rsidRPr="00625B33">
        <w:rPr>
          <w:rFonts w:asciiTheme="majorHAnsi" w:hAnsiTheme="majorHAnsi"/>
        </w:rPr>
        <w:t xml:space="preserve">s compensation that </w:t>
      </w:r>
      <w:r w:rsidR="00585033" w:rsidRPr="00625B33">
        <w:rPr>
          <w:rFonts w:asciiTheme="majorHAnsi" w:hAnsiTheme="majorHAnsi"/>
        </w:rPr>
        <w:t xml:space="preserve">was not connected with the municipality, in this case, Cleveland.   </w:t>
      </w:r>
      <w:r w:rsidR="001F128D" w:rsidRPr="00625B33">
        <w:rPr>
          <w:rFonts w:asciiTheme="majorHAnsi" w:hAnsiTheme="majorHAnsi"/>
        </w:rPr>
        <w:t xml:space="preserve">To satisfy Due Process, the taxpayer must have </w:t>
      </w:r>
      <w:r w:rsidR="00585033" w:rsidRPr="00625B33">
        <w:rPr>
          <w:rFonts w:asciiTheme="majorHAnsi" w:hAnsiTheme="majorHAnsi"/>
        </w:rPr>
        <w:t>a “definite link, some minimum connection” to a state</w:t>
      </w:r>
      <w:r w:rsidR="00585033" w:rsidRPr="00625B33">
        <w:rPr>
          <w:rStyle w:val="FootnoteReference"/>
          <w:rFonts w:asciiTheme="majorHAnsi" w:hAnsiTheme="majorHAnsi"/>
        </w:rPr>
        <w:footnoteReference w:id="8"/>
      </w:r>
      <w:r w:rsidR="001F128D" w:rsidRPr="00625B33">
        <w:rPr>
          <w:rFonts w:asciiTheme="majorHAnsi" w:hAnsiTheme="majorHAnsi"/>
        </w:rPr>
        <w:t xml:space="preserve"> </w:t>
      </w:r>
      <w:r w:rsidR="001F128D" w:rsidRPr="00625B33">
        <w:rPr>
          <w:rFonts w:asciiTheme="majorHAnsi" w:hAnsiTheme="majorHAnsi"/>
          <w:b/>
          <w:i/>
        </w:rPr>
        <w:t>and</w:t>
      </w:r>
      <w:r w:rsidR="00585033" w:rsidRPr="00625B33">
        <w:rPr>
          <w:rFonts w:asciiTheme="majorHAnsi" w:hAnsiTheme="majorHAnsi"/>
        </w:rPr>
        <w:t xml:space="preserve"> </w:t>
      </w:r>
      <w:r w:rsidR="00585033" w:rsidRPr="00625B33">
        <w:rPr>
          <w:rFonts w:asciiTheme="majorHAnsi" w:hAnsiTheme="majorHAnsi"/>
          <w:u w:val="single"/>
        </w:rPr>
        <w:t>“the income attributed to the State for tax purposes must be rationally related to ‘values connected with the taxing State.’ ”</w:t>
      </w:r>
      <w:r w:rsidR="00585033" w:rsidRPr="00625B33">
        <w:rPr>
          <w:rStyle w:val="FootnoteReference"/>
          <w:rFonts w:asciiTheme="majorHAnsi" w:hAnsiTheme="majorHAnsi"/>
        </w:rPr>
        <w:footnoteReference w:id="9"/>
      </w:r>
      <w:r w:rsidR="001F128D" w:rsidRPr="00625B33">
        <w:rPr>
          <w:rFonts w:asciiTheme="majorHAnsi" w:hAnsiTheme="majorHAnsi"/>
        </w:rPr>
        <w:t xml:space="preserve">  Due process requires an </w:t>
      </w:r>
      <w:r w:rsidR="001F128D" w:rsidRPr="00625B33">
        <w:rPr>
          <w:rFonts w:asciiTheme="majorHAnsi" w:hAnsiTheme="majorHAnsi"/>
        </w:rPr>
        <w:lastRenderedPageBreak/>
        <w:t>allocation that reasonably associates the amount of compensation taxed with work the taxpayer performed within the…[state or municipality].”</w:t>
      </w:r>
      <w:r w:rsidR="001F128D" w:rsidRPr="00625B33">
        <w:rPr>
          <w:rStyle w:val="FootnoteReference"/>
          <w:rFonts w:asciiTheme="majorHAnsi" w:hAnsiTheme="majorHAnsi"/>
        </w:rPr>
        <w:footnoteReference w:id="10"/>
      </w:r>
      <w:r w:rsidR="001F128D" w:rsidRPr="00625B33">
        <w:rPr>
          <w:rFonts w:asciiTheme="majorHAnsi" w:hAnsiTheme="majorHAnsi"/>
        </w:rPr>
        <w:t xml:space="preserve">  The games played method effectively allocated 5% of the players’ income to Cleveland on the basis of two-days spent in Cleveland;</w:t>
      </w:r>
      <w:r w:rsidR="00A866FD">
        <w:rPr>
          <w:rFonts w:asciiTheme="majorHAnsi" w:hAnsiTheme="majorHAnsi"/>
        </w:rPr>
        <w:t xml:space="preserve"> whereas, applying</w:t>
      </w:r>
      <w:r w:rsidR="001F128D" w:rsidRPr="00625B33">
        <w:rPr>
          <w:rFonts w:asciiTheme="majorHAnsi" w:hAnsiTheme="majorHAnsi"/>
        </w:rPr>
        <w:t xml:space="preserve"> the duty days method, resulted in a 1.25% allocation based on the same two-days.  Although the games played formula has not been struck down</w:t>
      </w:r>
      <w:r w:rsidR="001A07B5">
        <w:rPr>
          <w:rFonts w:asciiTheme="majorHAnsi" w:hAnsiTheme="majorHAnsi"/>
        </w:rPr>
        <w:t xml:space="preserve"> as a violation of </w:t>
      </w:r>
      <w:r w:rsidR="00A866FD">
        <w:rPr>
          <w:rFonts w:asciiTheme="majorHAnsi" w:hAnsiTheme="majorHAnsi"/>
        </w:rPr>
        <w:t>Due Process on its face</w:t>
      </w:r>
      <w:r w:rsidR="001F128D" w:rsidRPr="00625B33">
        <w:rPr>
          <w:rFonts w:asciiTheme="majorHAnsi" w:hAnsiTheme="majorHAnsi"/>
        </w:rPr>
        <w:t xml:space="preserve">, </w:t>
      </w:r>
      <w:r w:rsidR="001F128D" w:rsidRPr="001A07B5">
        <w:rPr>
          <w:rFonts w:asciiTheme="majorHAnsi" w:hAnsiTheme="majorHAnsi"/>
          <w:b/>
          <w:u w:val="single"/>
        </w:rPr>
        <w:t>its application</w:t>
      </w:r>
      <w:r w:rsidR="001F128D" w:rsidRPr="00625B33">
        <w:rPr>
          <w:rFonts w:asciiTheme="majorHAnsi" w:hAnsiTheme="majorHAnsi"/>
        </w:rPr>
        <w:t xml:space="preserve"> in this case allowed Cleveland to reach extraterritorial </w:t>
      </w:r>
      <w:r w:rsidR="0046543D" w:rsidRPr="00625B33">
        <w:rPr>
          <w:rFonts w:asciiTheme="majorHAnsi" w:hAnsiTheme="majorHAnsi"/>
        </w:rPr>
        <w:t>income</w:t>
      </w:r>
      <w:r w:rsidR="001A07B5">
        <w:rPr>
          <w:rFonts w:asciiTheme="majorHAnsi" w:hAnsiTheme="majorHAnsi"/>
        </w:rPr>
        <w:t xml:space="preserve">; </w:t>
      </w:r>
      <w:r w:rsidR="0046543D" w:rsidRPr="00625B33">
        <w:rPr>
          <w:rFonts w:asciiTheme="majorHAnsi" w:hAnsiTheme="majorHAnsi"/>
        </w:rPr>
        <w:t>a clear</w:t>
      </w:r>
      <w:r w:rsidR="001F128D" w:rsidRPr="00625B33">
        <w:rPr>
          <w:rFonts w:asciiTheme="majorHAnsi" w:hAnsiTheme="majorHAnsi"/>
        </w:rPr>
        <w:t xml:space="preserve"> vi</w:t>
      </w:r>
      <w:r w:rsidR="001A07B5">
        <w:rPr>
          <w:rFonts w:asciiTheme="majorHAnsi" w:hAnsiTheme="majorHAnsi"/>
        </w:rPr>
        <w:t>olation of Due P</w:t>
      </w:r>
      <w:r w:rsidR="0046543D" w:rsidRPr="00625B33">
        <w:rPr>
          <w:rFonts w:asciiTheme="majorHAnsi" w:hAnsiTheme="majorHAnsi"/>
        </w:rPr>
        <w:t xml:space="preserve">rocess which </w:t>
      </w:r>
      <w:r w:rsidR="001A07B5">
        <w:rPr>
          <w:rFonts w:asciiTheme="majorHAnsi" w:hAnsiTheme="majorHAnsi"/>
        </w:rPr>
        <w:t>afforded the</w:t>
      </w:r>
      <w:r w:rsidR="0046543D" w:rsidRPr="00625B33">
        <w:rPr>
          <w:rFonts w:asciiTheme="majorHAnsi" w:hAnsiTheme="majorHAnsi"/>
        </w:rPr>
        <w:t xml:space="preserve"> athletes</w:t>
      </w:r>
      <w:r w:rsidR="001A07B5">
        <w:rPr>
          <w:rFonts w:asciiTheme="majorHAnsi" w:hAnsiTheme="majorHAnsi"/>
        </w:rPr>
        <w:t xml:space="preserve"> an opportunity</w:t>
      </w:r>
      <w:r w:rsidR="0046543D" w:rsidRPr="00625B33">
        <w:rPr>
          <w:rFonts w:asciiTheme="majorHAnsi" w:hAnsiTheme="majorHAnsi"/>
        </w:rPr>
        <w:t xml:space="preserve"> to apply the more reasonable method (and file amended returns for the last three-years to recoup those overpayments).</w:t>
      </w:r>
      <w:r w:rsidR="001F128D" w:rsidRPr="00625B33">
        <w:rPr>
          <w:rFonts w:asciiTheme="majorHAnsi" w:hAnsiTheme="majorHAnsi"/>
        </w:rPr>
        <w:t xml:space="preserve">  </w:t>
      </w:r>
    </w:p>
    <w:p w:rsidR="001A07B5" w:rsidRDefault="001A07B5" w:rsidP="001F128D">
      <w:pPr>
        <w:rPr>
          <w:rFonts w:asciiTheme="majorHAnsi" w:hAnsiTheme="majorHAnsi"/>
        </w:rPr>
      </w:pPr>
      <w:r>
        <w:rPr>
          <w:rFonts w:asciiTheme="majorHAnsi" w:hAnsiTheme="majorHAnsi"/>
        </w:rPr>
        <w:t xml:space="preserve">To begin with, it seems </w:t>
      </w:r>
      <w:r w:rsidR="001F128D" w:rsidRPr="00625B33">
        <w:rPr>
          <w:rFonts w:asciiTheme="majorHAnsi" w:hAnsiTheme="majorHAnsi"/>
        </w:rPr>
        <w:t xml:space="preserve">worthwhile to take a look at each and every </w:t>
      </w:r>
      <w:r w:rsidR="0046543D" w:rsidRPr="00625B33">
        <w:rPr>
          <w:rFonts w:asciiTheme="majorHAnsi" w:hAnsiTheme="majorHAnsi"/>
        </w:rPr>
        <w:t>taxing state and municipality’s apportionment methodology as compared to others,</w:t>
      </w:r>
      <w:r w:rsidR="001F128D" w:rsidRPr="00625B33">
        <w:rPr>
          <w:rFonts w:asciiTheme="majorHAnsi" w:hAnsiTheme="majorHAnsi"/>
        </w:rPr>
        <w:t xml:space="preserve"> to determine whether the formula </w:t>
      </w:r>
      <w:r w:rsidR="001F128D" w:rsidRPr="00625B33">
        <w:rPr>
          <w:rFonts w:asciiTheme="majorHAnsi" w:hAnsiTheme="majorHAnsi"/>
          <w:i/>
        </w:rPr>
        <w:t>as applied</w:t>
      </w:r>
      <w:r w:rsidR="001F128D" w:rsidRPr="00625B33">
        <w:rPr>
          <w:rFonts w:asciiTheme="majorHAnsi" w:hAnsiTheme="majorHAnsi"/>
        </w:rPr>
        <w:t xml:space="preserve"> seems reasonable.  If not, a player may be paying more than their fair-share of tax to th</w:t>
      </w:r>
      <w:r>
        <w:rPr>
          <w:rFonts w:asciiTheme="majorHAnsi" w:hAnsiTheme="majorHAnsi"/>
        </w:rPr>
        <w:t>e state or locality in question.</w:t>
      </w:r>
    </w:p>
    <w:p w:rsidR="007F1782" w:rsidRDefault="007F1782" w:rsidP="001F128D">
      <w:pPr>
        <w:rPr>
          <w:rFonts w:ascii="Verdana" w:hAnsi="Verdana"/>
          <w:i/>
          <w:iCs/>
          <w:caps/>
          <w:color w:val="727272"/>
          <w:sz w:val="27"/>
          <w:szCs w:val="27"/>
          <w:shd w:val="clear" w:color="auto" w:fill="FFFFFF"/>
        </w:rPr>
      </w:pPr>
    </w:p>
    <w:p w:rsidR="007F1782" w:rsidRDefault="007F1782" w:rsidP="001F128D">
      <w:pPr>
        <w:rPr>
          <w:rFonts w:ascii="Verdana" w:hAnsi="Verdana"/>
          <w:i/>
          <w:iCs/>
          <w:caps/>
          <w:color w:val="727272"/>
          <w:sz w:val="27"/>
          <w:szCs w:val="27"/>
          <w:shd w:val="clear" w:color="auto" w:fill="FFFFFF"/>
        </w:rPr>
      </w:pPr>
    </w:p>
    <w:p w:rsidR="007F1782" w:rsidRDefault="007F1782" w:rsidP="001F128D">
      <w:pPr>
        <w:rPr>
          <w:rFonts w:ascii="Verdana" w:hAnsi="Verdana"/>
          <w:i/>
          <w:iCs/>
          <w:caps/>
          <w:color w:val="727272"/>
          <w:sz w:val="27"/>
          <w:szCs w:val="27"/>
          <w:shd w:val="clear" w:color="auto" w:fill="FFFFFF"/>
        </w:rPr>
      </w:pPr>
    </w:p>
    <w:p w:rsidR="007F1782" w:rsidRDefault="007F1782" w:rsidP="001F128D">
      <w:pPr>
        <w:rPr>
          <w:rFonts w:ascii="Verdana" w:hAnsi="Verdana"/>
          <w:i/>
          <w:iCs/>
          <w:caps/>
          <w:color w:val="727272"/>
          <w:sz w:val="27"/>
          <w:szCs w:val="27"/>
          <w:shd w:val="clear" w:color="auto" w:fill="FFFFFF"/>
        </w:rPr>
      </w:pPr>
    </w:p>
    <w:p w:rsidR="007F1782" w:rsidRDefault="007F1782" w:rsidP="001F128D">
      <w:pPr>
        <w:rPr>
          <w:rFonts w:ascii="Verdana" w:hAnsi="Verdana"/>
          <w:i/>
          <w:iCs/>
          <w:caps/>
          <w:color w:val="727272"/>
          <w:sz w:val="27"/>
          <w:szCs w:val="27"/>
          <w:shd w:val="clear" w:color="auto" w:fill="FFFFFF"/>
        </w:rPr>
      </w:pPr>
    </w:p>
    <w:p w:rsidR="007F1782" w:rsidRDefault="007F1782" w:rsidP="001F128D">
      <w:pPr>
        <w:rPr>
          <w:rFonts w:ascii="Verdana" w:hAnsi="Verdana"/>
          <w:i/>
          <w:iCs/>
          <w:caps/>
          <w:color w:val="727272"/>
          <w:sz w:val="27"/>
          <w:szCs w:val="27"/>
          <w:shd w:val="clear" w:color="auto" w:fill="FFFFFF"/>
        </w:rPr>
      </w:pPr>
    </w:p>
    <w:p w:rsidR="007F1782" w:rsidRDefault="007F1782" w:rsidP="001F128D">
      <w:pPr>
        <w:rPr>
          <w:rFonts w:ascii="Verdana" w:hAnsi="Verdana"/>
          <w:i/>
          <w:iCs/>
          <w:caps/>
          <w:color w:val="727272"/>
          <w:sz w:val="27"/>
          <w:szCs w:val="27"/>
          <w:shd w:val="clear" w:color="auto" w:fill="FFFFFF"/>
        </w:rPr>
      </w:pPr>
    </w:p>
    <w:p w:rsidR="007F1782" w:rsidRDefault="007F1782" w:rsidP="001F128D">
      <w:pPr>
        <w:rPr>
          <w:rFonts w:ascii="Verdana" w:hAnsi="Verdana"/>
          <w:i/>
          <w:iCs/>
          <w:caps/>
          <w:color w:val="727272"/>
          <w:sz w:val="27"/>
          <w:szCs w:val="27"/>
          <w:shd w:val="clear" w:color="auto" w:fill="FFFFFF"/>
        </w:rPr>
      </w:pPr>
    </w:p>
    <w:p w:rsidR="007F1782" w:rsidRDefault="007F1782" w:rsidP="001F128D">
      <w:pPr>
        <w:rPr>
          <w:rFonts w:ascii="Verdana" w:hAnsi="Verdana"/>
          <w:i/>
          <w:iCs/>
          <w:caps/>
          <w:color w:val="727272"/>
          <w:sz w:val="27"/>
          <w:szCs w:val="27"/>
          <w:shd w:val="clear" w:color="auto" w:fill="FFFFFF"/>
        </w:rPr>
      </w:pPr>
    </w:p>
    <w:p w:rsidR="007F1782" w:rsidRDefault="007F1782" w:rsidP="001F128D">
      <w:pPr>
        <w:rPr>
          <w:rFonts w:ascii="Verdana" w:hAnsi="Verdana"/>
          <w:i/>
          <w:iCs/>
          <w:caps/>
          <w:color w:val="727272"/>
          <w:sz w:val="27"/>
          <w:szCs w:val="27"/>
          <w:shd w:val="clear" w:color="auto" w:fill="FFFFFF"/>
        </w:rPr>
      </w:pPr>
    </w:p>
    <w:p w:rsidR="007F1782" w:rsidRDefault="007F1782" w:rsidP="001F128D">
      <w:pPr>
        <w:rPr>
          <w:rFonts w:ascii="Verdana" w:hAnsi="Verdana"/>
          <w:i/>
          <w:iCs/>
          <w:caps/>
          <w:color w:val="727272"/>
          <w:sz w:val="27"/>
          <w:szCs w:val="27"/>
          <w:shd w:val="clear" w:color="auto" w:fill="FFFFFF"/>
        </w:rPr>
      </w:pPr>
    </w:p>
    <w:p w:rsidR="007F1782" w:rsidRDefault="007F1782" w:rsidP="001F128D">
      <w:pPr>
        <w:rPr>
          <w:rFonts w:ascii="Verdana" w:hAnsi="Verdana"/>
          <w:i/>
          <w:iCs/>
          <w:caps/>
          <w:color w:val="727272"/>
          <w:sz w:val="27"/>
          <w:szCs w:val="27"/>
          <w:shd w:val="clear" w:color="auto" w:fill="FFFFFF"/>
        </w:rPr>
      </w:pPr>
    </w:p>
    <w:p w:rsidR="007F1782" w:rsidRDefault="007F1782" w:rsidP="001F128D">
      <w:pPr>
        <w:rPr>
          <w:rFonts w:ascii="Verdana" w:hAnsi="Verdana"/>
          <w:i/>
          <w:iCs/>
          <w:caps/>
          <w:color w:val="727272"/>
          <w:sz w:val="27"/>
          <w:szCs w:val="27"/>
          <w:shd w:val="clear" w:color="auto" w:fill="FFFFFF"/>
        </w:rPr>
      </w:pPr>
    </w:p>
    <w:p w:rsidR="007F1782" w:rsidRDefault="007F1782" w:rsidP="001F128D">
      <w:pPr>
        <w:rPr>
          <w:rFonts w:ascii="Verdana" w:hAnsi="Verdana"/>
          <w:i/>
          <w:iCs/>
          <w:caps/>
          <w:color w:val="727272"/>
          <w:sz w:val="27"/>
          <w:szCs w:val="27"/>
          <w:shd w:val="clear" w:color="auto" w:fill="FFFFFF"/>
        </w:rPr>
      </w:pPr>
    </w:p>
    <w:p w:rsidR="007F1782" w:rsidRPr="00625B33" w:rsidRDefault="007F1782" w:rsidP="001F128D">
      <w:pPr>
        <w:rPr>
          <w:rFonts w:asciiTheme="majorHAnsi" w:hAnsiTheme="majorHAnsi"/>
        </w:rPr>
      </w:pPr>
      <w:r>
        <w:rPr>
          <w:rFonts w:ascii="Verdana" w:hAnsi="Verdana"/>
          <w:i/>
          <w:iCs/>
          <w:caps/>
          <w:color w:val="727272"/>
          <w:sz w:val="27"/>
          <w:szCs w:val="27"/>
          <w:shd w:val="clear" w:color="auto" w:fill="FFFFFF"/>
        </w:rPr>
        <w:t>© 2018 gary k. heald, jr. ALL RIGHTS RESERVED</w:t>
      </w:r>
    </w:p>
    <w:sectPr w:rsidR="007F1782" w:rsidRPr="00625B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6B" w:rsidRDefault="0052716B" w:rsidP="007F586A">
      <w:pPr>
        <w:spacing w:after="0" w:line="240" w:lineRule="auto"/>
      </w:pPr>
      <w:r>
        <w:separator/>
      </w:r>
    </w:p>
  </w:endnote>
  <w:endnote w:type="continuationSeparator" w:id="0">
    <w:p w:rsidR="0052716B" w:rsidRDefault="0052716B" w:rsidP="007F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6B" w:rsidRDefault="0052716B" w:rsidP="007F586A">
      <w:pPr>
        <w:spacing w:after="0" w:line="240" w:lineRule="auto"/>
      </w:pPr>
      <w:r>
        <w:separator/>
      </w:r>
    </w:p>
  </w:footnote>
  <w:footnote w:type="continuationSeparator" w:id="0">
    <w:p w:rsidR="0052716B" w:rsidRDefault="0052716B" w:rsidP="007F586A">
      <w:pPr>
        <w:spacing w:after="0" w:line="240" w:lineRule="auto"/>
      </w:pPr>
      <w:r>
        <w:continuationSeparator/>
      </w:r>
    </w:p>
  </w:footnote>
  <w:footnote w:id="1">
    <w:p w:rsidR="001E0599" w:rsidRPr="007432C7" w:rsidRDefault="001E0599">
      <w:pPr>
        <w:pStyle w:val="FootnoteText"/>
        <w:rPr>
          <w:rFonts w:asciiTheme="majorHAnsi" w:hAnsiTheme="majorHAnsi"/>
          <w:sz w:val="18"/>
          <w:szCs w:val="18"/>
        </w:rPr>
      </w:pPr>
      <w:r w:rsidRPr="007432C7">
        <w:rPr>
          <w:rStyle w:val="FootnoteReference"/>
          <w:rFonts w:asciiTheme="majorHAnsi" w:hAnsiTheme="majorHAnsi"/>
          <w:sz w:val="18"/>
          <w:szCs w:val="18"/>
        </w:rPr>
        <w:footnoteRef/>
      </w:r>
      <w:r w:rsidRPr="007432C7">
        <w:rPr>
          <w:rFonts w:asciiTheme="majorHAnsi" w:hAnsiTheme="majorHAnsi"/>
          <w:sz w:val="18"/>
          <w:szCs w:val="18"/>
        </w:rPr>
        <w:t xml:space="preserve"> </w:t>
      </w:r>
      <w:hyperlink r:id="rId1" w:history="1">
        <w:r w:rsidRPr="007432C7">
          <w:rPr>
            <w:rStyle w:val="Hyperlink"/>
            <w:rFonts w:asciiTheme="majorHAnsi" w:hAnsiTheme="majorHAnsi"/>
            <w:sz w:val="18"/>
            <w:szCs w:val="18"/>
          </w:rPr>
          <w:t>https://taxfoundation.org/toolkit-sources-state-local-tax-collections/</w:t>
        </w:r>
      </w:hyperlink>
      <w:r w:rsidRPr="007432C7">
        <w:rPr>
          <w:rFonts w:asciiTheme="majorHAnsi" w:hAnsiTheme="majorHAnsi"/>
          <w:sz w:val="18"/>
          <w:szCs w:val="18"/>
        </w:rPr>
        <w:t>.  Tennessee and New Hampshire tax income from interest and dividends.  H</w:t>
      </w:r>
      <w:r w:rsidRPr="007432C7">
        <w:rPr>
          <w:rFonts w:asciiTheme="majorHAnsi" w:hAnsiTheme="majorHAnsi" w:cs="Helvetica"/>
          <w:sz w:val="18"/>
          <w:szCs w:val="18"/>
          <w:shd w:val="clear" w:color="auto" w:fill="FFFFFF"/>
        </w:rPr>
        <w:t>owever, subsection (d) invalidates the exemption for professional athletes.</w:t>
      </w:r>
    </w:p>
  </w:footnote>
  <w:footnote w:id="2">
    <w:p w:rsidR="001E0599" w:rsidRPr="007432C7" w:rsidRDefault="001E0599">
      <w:pPr>
        <w:pStyle w:val="FootnoteText"/>
        <w:rPr>
          <w:rFonts w:asciiTheme="majorHAnsi" w:hAnsiTheme="majorHAnsi"/>
          <w:sz w:val="18"/>
          <w:szCs w:val="18"/>
        </w:rPr>
      </w:pPr>
      <w:r w:rsidRPr="007432C7">
        <w:rPr>
          <w:rStyle w:val="FootnoteReference"/>
          <w:rFonts w:asciiTheme="majorHAnsi" w:hAnsiTheme="majorHAnsi"/>
          <w:sz w:val="18"/>
          <w:szCs w:val="18"/>
        </w:rPr>
        <w:footnoteRef/>
      </w:r>
      <w:r w:rsidRPr="007432C7">
        <w:rPr>
          <w:rFonts w:asciiTheme="majorHAnsi" w:hAnsiTheme="majorHAnsi"/>
          <w:sz w:val="18"/>
          <w:szCs w:val="18"/>
        </w:rPr>
        <w:t xml:space="preserve"> </w:t>
      </w:r>
      <w:r w:rsidRPr="007432C7">
        <w:rPr>
          <w:rFonts w:asciiTheme="majorHAnsi" w:hAnsiTheme="majorHAnsi" w:cs="Helvetica"/>
          <w:sz w:val="18"/>
          <w:szCs w:val="18"/>
          <w:shd w:val="clear" w:color="auto" w:fill="FFFFFF"/>
        </w:rPr>
        <w:t xml:space="preserve">Ohio Rev. Code § 718.011(B)(1) allows for an exemption to municipal taxes for non-residents doing business in the municipality for 20 days. </w:t>
      </w:r>
    </w:p>
  </w:footnote>
  <w:footnote w:id="3">
    <w:p w:rsidR="002703D7" w:rsidRPr="007432C7" w:rsidRDefault="002703D7" w:rsidP="0015584C">
      <w:pPr>
        <w:pStyle w:val="FootnoteText"/>
        <w:rPr>
          <w:rFonts w:asciiTheme="majorHAnsi" w:hAnsiTheme="majorHAnsi"/>
          <w:sz w:val="18"/>
          <w:szCs w:val="18"/>
        </w:rPr>
      </w:pPr>
      <w:r w:rsidRPr="007432C7">
        <w:rPr>
          <w:rStyle w:val="FootnoteReference"/>
          <w:rFonts w:asciiTheme="majorHAnsi" w:hAnsiTheme="majorHAnsi"/>
          <w:sz w:val="18"/>
          <w:szCs w:val="18"/>
        </w:rPr>
        <w:footnoteRef/>
      </w:r>
      <w:r w:rsidRPr="007432C7">
        <w:rPr>
          <w:rFonts w:asciiTheme="majorHAnsi" w:hAnsiTheme="majorHAnsi"/>
          <w:sz w:val="18"/>
          <w:szCs w:val="18"/>
        </w:rPr>
        <w:t xml:space="preserve"> Sports Illustrated https://www.si.com/nfl/2016/02/06/super-bowl-50-california-jock-tax-cam-newton</w:t>
      </w:r>
      <w:r w:rsidR="00FE7C1B" w:rsidRPr="007432C7">
        <w:rPr>
          <w:rFonts w:asciiTheme="majorHAnsi" w:hAnsiTheme="majorHAnsi"/>
          <w:sz w:val="18"/>
          <w:szCs w:val="18"/>
        </w:rPr>
        <w:t>.</w:t>
      </w:r>
    </w:p>
  </w:footnote>
  <w:footnote w:id="4">
    <w:p w:rsidR="00792B19" w:rsidRPr="007432C7" w:rsidRDefault="00792B19">
      <w:pPr>
        <w:pStyle w:val="FootnoteText"/>
        <w:rPr>
          <w:rFonts w:asciiTheme="majorHAnsi" w:hAnsiTheme="majorHAnsi"/>
          <w:sz w:val="18"/>
          <w:szCs w:val="18"/>
        </w:rPr>
      </w:pPr>
      <w:r w:rsidRPr="007432C7">
        <w:rPr>
          <w:rStyle w:val="FootnoteReference"/>
          <w:rFonts w:asciiTheme="majorHAnsi" w:hAnsiTheme="majorHAnsi"/>
          <w:sz w:val="18"/>
          <w:szCs w:val="18"/>
        </w:rPr>
        <w:footnoteRef/>
      </w:r>
      <w:r w:rsidRPr="007432C7">
        <w:rPr>
          <w:rFonts w:asciiTheme="majorHAnsi" w:hAnsiTheme="majorHAnsi"/>
          <w:sz w:val="18"/>
          <w:szCs w:val="18"/>
        </w:rPr>
        <w:t>https://tax.thomsonreuters.com/blog/accounting-audit-payroll/payroll/state-by-state-reciprocity-agreements/</w:t>
      </w:r>
      <w:r w:rsidR="00FE7C1B" w:rsidRPr="007432C7">
        <w:rPr>
          <w:rFonts w:asciiTheme="majorHAnsi" w:hAnsiTheme="majorHAnsi"/>
          <w:sz w:val="18"/>
          <w:szCs w:val="18"/>
        </w:rPr>
        <w:t>.</w:t>
      </w:r>
    </w:p>
  </w:footnote>
  <w:footnote w:id="5">
    <w:p w:rsidR="007D1B41" w:rsidRPr="007432C7" w:rsidRDefault="007D1B41">
      <w:pPr>
        <w:pStyle w:val="FootnoteText"/>
        <w:rPr>
          <w:rFonts w:asciiTheme="majorHAnsi" w:hAnsiTheme="majorHAnsi"/>
          <w:sz w:val="18"/>
          <w:szCs w:val="18"/>
        </w:rPr>
      </w:pPr>
      <w:r w:rsidRPr="007432C7">
        <w:rPr>
          <w:rStyle w:val="FootnoteReference"/>
          <w:rFonts w:asciiTheme="majorHAnsi" w:hAnsiTheme="majorHAnsi"/>
          <w:sz w:val="18"/>
          <w:szCs w:val="18"/>
        </w:rPr>
        <w:footnoteRef/>
      </w:r>
      <w:r w:rsidRPr="007432C7">
        <w:rPr>
          <w:rFonts w:asciiTheme="majorHAnsi" w:hAnsiTheme="majorHAnsi"/>
          <w:sz w:val="18"/>
          <w:szCs w:val="18"/>
        </w:rPr>
        <w:t xml:space="preserve"> Pet</w:t>
      </w:r>
      <w:r w:rsidR="006C028A" w:rsidRPr="007432C7">
        <w:rPr>
          <w:rFonts w:asciiTheme="majorHAnsi" w:hAnsiTheme="majorHAnsi"/>
          <w:sz w:val="18"/>
          <w:szCs w:val="18"/>
        </w:rPr>
        <w:t>ers and</w:t>
      </w:r>
      <w:r w:rsidRPr="007432C7">
        <w:rPr>
          <w:rFonts w:asciiTheme="majorHAnsi" w:hAnsiTheme="majorHAnsi"/>
          <w:sz w:val="18"/>
          <w:szCs w:val="18"/>
        </w:rPr>
        <w:t xml:space="preserve"> Miller, </w:t>
      </w:r>
      <w:r w:rsidRPr="007432C7">
        <w:rPr>
          <w:rFonts w:asciiTheme="majorHAnsi" w:hAnsiTheme="majorHAnsi"/>
          <w:i/>
          <w:sz w:val="18"/>
          <w:szCs w:val="18"/>
        </w:rPr>
        <w:t>Apportionability in State Income Taxation: The Uniform Division of Income for Tax Purposes Act and Allied-Signal</w:t>
      </w:r>
      <w:r w:rsidRPr="007432C7">
        <w:rPr>
          <w:rFonts w:asciiTheme="majorHAnsi" w:hAnsiTheme="majorHAnsi"/>
          <w:sz w:val="18"/>
          <w:szCs w:val="18"/>
        </w:rPr>
        <w:t>, 60 Tax Lawyer 57 (2006).</w:t>
      </w:r>
    </w:p>
  </w:footnote>
  <w:footnote w:id="6">
    <w:p w:rsidR="002703D7" w:rsidRPr="007432C7" w:rsidRDefault="002703D7">
      <w:pPr>
        <w:pStyle w:val="FootnoteText"/>
        <w:rPr>
          <w:rFonts w:asciiTheme="majorHAnsi" w:hAnsiTheme="majorHAnsi"/>
          <w:sz w:val="18"/>
          <w:szCs w:val="18"/>
        </w:rPr>
      </w:pPr>
      <w:r w:rsidRPr="007432C7">
        <w:rPr>
          <w:rStyle w:val="FootnoteReference"/>
          <w:rFonts w:asciiTheme="majorHAnsi" w:hAnsiTheme="majorHAnsi"/>
          <w:sz w:val="18"/>
          <w:szCs w:val="18"/>
        </w:rPr>
        <w:footnoteRef/>
      </w:r>
      <w:r w:rsidRPr="007432C7">
        <w:rPr>
          <w:rFonts w:asciiTheme="majorHAnsi" w:hAnsiTheme="majorHAnsi"/>
          <w:sz w:val="18"/>
          <w:szCs w:val="18"/>
        </w:rPr>
        <w:t xml:space="preserve"> </w:t>
      </w:r>
      <w:r w:rsidRPr="007432C7">
        <w:rPr>
          <w:rFonts w:asciiTheme="majorHAnsi" w:hAnsiTheme="majorHAnsi"/>
          <w:sz w:val="18"/>
          <w:szCs w:val="18"/>
          <w:u w:val="single"/>
        </w:rPr>
        <w:t>Hillenmeyer v. Cleveland Bd. of Rev.</w:t>
      </w:r>
      <w:r w:rsidRPr="007432C7">
        <w:rPr>
          <w:rFonts w:asciiTheme="majorHAnsi" w:hAnsiTheme="majorHAnsi"/>
          <w:sz w:val="18"/>
          <w:szCs w:val="18"/>
        </w:rPr>
        <w:t>, 144 Ohio St.3d 165 2015-Ohio-1623 (p. 9).</w:t>
      </w:r>
    </w:p>
  </w:footnote>
  <w:footnote w:id="7">
    <w:p w:rsidR="00585033" w:rsidRPr="007432C7" w:rsidRDefault="00585033">
      <w:pPr>
        <w:pStyle w:val="FootnoteText"/>
        <w:rPr>
          <w:rFonts w:asciiTheme="majorHAnsi" w:hAnsiTheme="majorHAnsi"/>
          <w:sz w:val="18"/>
          <w:szCs w:val="18"/>
        </w:rPr>
      </w:pPr>
      <w:r w:rsidRPr="007432C7">
        <w:rPr>
          <w:rStyle w:val="FootnoteReference"/>
          <w:rFonts w:asciiTheme="majorHAnsi" w:hAnsiTheme="majorHAnsi"/>
          <w:sz w:val="18"/>
          <w:szCs w:val="18"/>
        </w:rPr>
        <w:footnoteRef/>
      </w:r>
      <w:r w:rsidRPr="007432C7">
        <w:rPr>
          <w:rFonts w:asciiTheme="majorHAnsi" w:hAnsiTheme="majorHAnsi"/>
          <w:sz w:val="18"/>
          <w:szCs w:val="18"/>
        </w:rPr>
        <w:t xml:space="preserve"> United States Constitution, 14</w:t>
      </w:r>
      <w:r w:rsidRPr="007432C7">
        <w:rPr>
          <w:rFonts w:asciiTheme="majorHAnsi" w:hAnsiTheme="majorHAnsi"/>
          <w:sz w:val="18"/>
          <w:szCs w:val="18"/>
          <w:vertAlign w:val="superscript"/>
        </w:rPr>
        <w:t>th</w:t>
      </w:r>
      <w:r w:rsidRPr="007432C7">
        <w:rPr>
          <w:rFonts w:asciiTheme="majorHAnsi" w:hAnsiTheme="majorHAnsi"/>
          <w:sz w:val="18"/>
          <w:szCs w:val="18"/>
        </w:rPr>
        <w:t xml:space="preserve"> Amendment</w:t>
      </w:r>
      <w:r w:rsidR="006C028A" w:rsidRPr="007432C7">
        <w:rPr>
          <w:rFonts w:asciiTheme="majorHAnsi" w:hAnsiTheme="majorHAnsi"/>
          <w:sz w:val="18"/>
          <w:szCs w:val="18"/>
        </w:rPr>
        <w:t>.</w:t>
      </w:r>
    </w:p>
  </w:footnote>
  <w:footnote w:id="8">
    <w:p w:rsidR="00585033" w:rsidRPr="007432C7" w:rsidRDefault="00585033">
      <w:pPr>
        <w:pStyle w:val="FootnoteText"/>
        <w:rPr>
          <w:rFonts w:asciiTheme="majorHAnsi" w:hAnsiTheme="majorHAnsi"/>
          <w:sz w:val="18"/>
          <w:szCs w:val="18"/>
        </w:rPr>
      </w:pPr>
      <w:r w:rsidRPr="007432C7">
        <w:rPr>
          <w:rStyle w:val="FootnoteReference"/>
          <w:rFonts w:asciiTheme="majorHAnsi" w:hAnsiTheme="majorHAnsi"/>
          <w:sz w:val="18"/>
          <w:szCs w:val="18"/>
        </w:rPr>
        <w:footnoteRef/>
      </w:r>
      <w:r w:rsidRPr="007432C7">
        <w:rPr>
          <w:rFonts w:asciiTheme="majorHAnsi" w:hAnsiTheme="majorHAnsi"/>
          <w:sz w:val="18"/>
          <w:szCs w:val="18"/>
        </w:rPr>
        <w:t xml:space="preserve"> </w:t>
      </w:r>
      <w:r w:rsidRPr="007432C7">
        <w:rPr>
          <w:rFonts w:asciiTheme="majorHAnsi" w:hAnsiTheme="majorHAnsi"/>
          <w:sz w:val="18"/>
          <w:szCs w:val="18"/>
          <w:u w:val="single"/>
        </w:rPr>
        <w:t>Quill Corp. v. North Dakota</w:t>
      </w:r>
      <w:r w:rsidRPr="007432C7">
        <w:rPr>
          <w:rFonts w:asciiTheme="majorHAnsi" w:hAnsiTheme="majorHAnsi"/>
          <w:sz w:val="18"/>
          <w:szCs w:val="18"/>
        </w:rPr>
        <w:t>, 504 U.S. 298, 306, 112 S.Ct. 1904, 119 L.Ed.2d 91 (1992)</w:t>
      </w:r>
      <w:r w:rsidR="00BF5EB1" w:rsidRPr="007432C7">
        <w:rPr>
          <w:rFonts w:asciiTheme="majorHAnsi" w:hAnsiTheme="majorHAnsi"/>
          <w:sz w:val="18"/>
          <w:szCs w:val="18"/>
        </w:rPr>
        <w:t>.</w:t>
      </w:r>
    </w:p>
  </w:footnote>
  <w:footnote w:id="9">
    <w:p w:rsidR="00585033" w:rsidRPr="007432C7" w:rsidRDefault="00585033">
      <w:pPr>
        <w:pStyle w:val="FootnoteText"/>
        <w:rPr>
          <w:rFonts w:asciiTheme="majorHAnsi" w:hAnsiTheme="majorHAnsi"/>
          <w:sz w:val="18"/>
          <w:szCs w:val="18"/>
        </w:rPr>
      </w:pPr>
      <w:r w:rsidRPr="007432C7">
        <w:rPr>
          <w:rStyle w:val="FootnoteReference"/>
          <w:rFonts w:asciiTheme="majorHAnsi" w:hAnsiTheme="majorHAnsi"/>
          <w:sz w:val="18"/>
          <w:szCs w:val="18"/>
        </w:rPr>
        <w:footnoteRef/>
      </w:r>
      <w:r w:rsidRPr="007432C7">
        <w:rPr>
          <w:rFonts w:asciiTheme="majorHAnsi" w:hAnsiTheme="majorHAnsi"/>
          <w:sz w:val="18"/>
          <w:szCs w:val="18"/>
        </w:rPr>
        <w:t xml:space="preserve"> </w:t>
      </w:r>
      <w:r w:rsidR="00BF5EB1" w:rsidRPr="007432C7">
        <w:rPr>
          <w:rFonts w:asciiTheme="majorHAnsi" w:hAnsiTheme="majorHAnsi"/>
          <w:sz w:val="18"/>
          <w:szCs w:val="18"/>
          <w:u w:val="single"/>
        </w:rPr>
        <w:t xml:space="preserve">Norfolk </w:t>
      </w:r>
      <w:r w:rsidRPr="007432C7">
        <w:rPr>
          <w:rFonts w:asciiTheme="majorHAnsi" w:hAnsiTheme="majorHAnsi"/>
          <w:sz w:val="18"/>
          <w:szCs w:val="18"/>
          <w:u w:val="single"/>
        </w:rPr>
        <w:t>&amp; W. Ry. Co. v. Missouri State Tax Comm.</w:t>
      </w:r>
      <w:r w:rsidRPr="007432C7">
        <w:rPr>
          <w:rFonts w:asciiTheme="majorHAnsi" w:hAnsiTheme="majorHAnsi"/>
          <w:sz w:val="18"/>
          <w:szCs w:val="18"/>
        </w:rPr>
        <w:t>, 390 U.S. 317, 325, 88 S.Ct. 995, 19 L.Ed.2d 1201.</w:t>
      </w:r>
    </w:p>
  </w:footnote>
  <w:footnote w:id="10">
    <w:p w:rsidR="001F128D" w:rsidRPr="007432C7" w:rsidRDefault="001F128D">
      <w:pPr>
        <w:pStyle w:val="FootnoteText"/>
        <w:rPr>
          <w:rFonts w:asciiTheme="majorHAnsi" w:hAnsiTheme="majorHAnsi"/>
          <w:sz w:val="18"/>
          <w:szCs w:val="18"/>
        </w:rPr>
      </w:pPr>
      <w:r w:rsidRPr="007432C7">
        <w:rPr>
          <w:rStyle w:val="FootnoteReference"/>
          <w:rFonts w:asciiTheme="majorHAnsi" w:hAnsiTheme="majorHAnsi"/>
          <w:sz w:val="18"/>
          <w:szCs w:val="18"/>
        </w:rPr>
        <w:footnoteRef/>
      </w:r>
      <w:r w:rsidRPr="007432C7">
        <w:rPr>
          <w:rFonts w:asciiTheme="majorHAnsi" w:hAnsiTheme="majorHAnsi"/>
          <w:sz w:val="18"/>
          <w:szCs w:val="18"/>
        </w:rPr>
        <w:t xml:space="preserve"> 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0637"/>
    <w:multiLevelType w:val="hybridMultilevel"/>
    <w:tmpl w:val="1B4EE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A0"/>
    <w:rsid w:val="00025343"/>
    <w:rsid w:val="00044257"/>
    <w:rsid w:val="000B5240"/>
    <w:rsid w:val="000C6254"/>
    <w:rsid w:val="000F73C1"/>
    <w:rsid w:val="00115DD5"/>
    <w:rsid w:val="00153901"/>
    <w:rsid w:val="0015584C"/>
    <w:rsid w:val="0016505F"/>
    <w:rsid w:val="001A07B5"/>
    <w:rsid w:val="001C1B35"/>
    <w:rsid w:val="001E0599"/>
    <w:rsid w:val="001F128D"/>
    <w:rsid w:val="0021601A"/>
    <w:rsid w:val="00266CDF"/>
    <w:rsid w:val="002703D7"/>
    <w:rsid w:val="00273E8C"/>
    <w:rsid w:val="002917F9"/>
    <w:rsid w:val="00296FE4"/>
    <w:rsid w:val="002F7E39"/>
    <w:rsid w:val="00350C35"/>
    <w:rsid w:val="003D25F2"/>
    <w:rsid w:val="003F407C"/>
    <w:rsid w:val="00402983"/>
    <w:rsid w:val="0046543D"/>
    <w:rsid w:val="00472421"/>
    <w:rsid w:val="00473B81"/>
    <w:rsid w:val="00480AB3"/>
    <w:rsid w:val="00481AA0"/>
    <w:rsid w:val="00493E18"/>
    <w:rsid w:val="004B3088"/>
    <w:rsid w:val="0052716B"/>
    <w:rsid w:val="005311A6"/>
    <w:rsid w:val="00585033"/>
    <w:rsid w:val="005A3710"/>
    <w:rsid w:val="005E2242"/>
    <w:rsid w:val="005F238B"/>
    <w:rsid w:val="00621B2C"/>
    <w:rsid w:val="00625B33"/>
    <w:rsid w:val="006C028A"/>
    <w:rsid w:val="00715CD5"/>
    <w:rsid w:val="007432C7"/>
    <w:rsid w:val="00792B19"/>
    <w:rsid w:val="007B6E84"/>
    <w:rsid w:val="007D1B41"/>
    <w:rsid w:val="007F1782"/>
    <w:rsid w:val="007F2847"/>
    <w:rsid w:val="007F586A"/>
    <w:rsid w:val="00883E4F"/>
    <w:rsid w:val="008866A0"/>
    <w:rsid w:val="008972B2"/>
    <w:rsid w:val="008A5AE2"/>
    <w:rsid w:val="008B45EC"/>
    <w:rsid w:val="008B7CB4"/>
    <w:rsid w:val="008D4889"/>
    <w:rsid w:val="008D5319"/>
    <w:rsid w:val="008D6385"/>
    <w:rsid w:val="008E440C"/>
    <w:rsid w:val="008E4643"/>
    <w:rsid w:val="008E4C59"/>
    <w:rsid w:val="009447A8"/>
    <w:rsid w:val="00945249"/>
    <w:rsid w:val="009A43FC"/>
    <w:rsid w:val="009B09B2"/>
    <w:rsid w:val="009D216F"/>
    <w:rsid w:val="009F3BDF"/>
    <w:rsid w:val="00A67C34"/>
    <w:rsid w:val="00A7097B"/>
    <w:rsid w:val="00A866FD"/>
    <w:rsid w:val="00A9098F"/>
    <w:rsid w:val="00AB1314"/>
    <w:rsid w:val="00AC2B70"/>
    <w:rsid w:val="00AD6F31"/>
    <w:rsid w:val="00B4362A"/>
    <w:rsid w:val="00BF5EB1"/>
    <w:rsid w:val="00C03163"/>
    <w:rsid w:val="00C41A94"/>
    <w:rsid w:val="00C6055D"/>
    <w:rsid w:val="00D06758"/>
    <w:rsid w:val="00D265AB"/>
    <w:rsid w:val="00D316E8"/>
    <w:rsid w:val="00D41427"/>
    <w:rsid w:val="00D46D01"/>
    <w:rsid w:val="00DA5936"/>
    <w:rsid w:val="00DF4E0A"/>
    <w:rsid w:val="00E22E5B"/>
    <w:rsid w:val="00E84F33"/>
    <w:rsid w:val="00E96D77"/>
    <w:rsid w:val="00EA0DB2"/>
    <w:rsid w:val="00EC3BF8"/>
    <w:rsid w:val="00EE318B"/>
    <w:rsid w:val="00EF3C47"/>
    <w:rsid w:val="00EF43C0"/>
    <w:rsid w:val="00EF6415"/>
    <w:rsid w:val="00F05077"/>
    <w:rsid w:val="00F40981"/>
    <w:rsid w:val="00F41F6B"/>
    <w:rsid w:val="00F50FBB"/>
    <w:rsid w:val="00F51067"/>
    <w:rsid w:val="00F60046"/>
    <w:rsid w:val="00F7334E"/>
    <w:rsid w:val="00F74386"/>
    <w:rsid w:val="00FD1905"/>
    <w:rsid w:val="00FD3870"/>
    <w:rsid w:val="00FE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6A0"/>
    <w:pPr>
      <w:ind w:left="720"/>
      <w:contextualSpacing/>
    </w:pPr>
  </w:style>
  <w:style w:type="paragraph" w:styleId="FootnoteText">
    <w:name w:val="footnote text"/>
    <w:basedOn w:val="Normal"/>
    <w:link w:val="FootnoteTextChar"/>
    <w:uiPriority w:val="99"/>
    <w:semiHidden/>
    <w:unhideWhenUsed/>
    <w:rsid w:val="007F58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86A"/>
    <w:rPr>
      <w:sz w:val="20"/>
      <w:szCs w:val="20"/>
    </w:rPr>
  </w:style>
  <w:style w:type="character" w:styleId="FootnoteReference">
    <w:name w:val="footnote reference"/>
    <w:basedOn w:val="DefaultParagraphFont"/>
    <w:uiPriority w:val="99"/>
    <w:semiHidden/>
    <w:unhideWhenUsed/>
    <w:rsid w:val="007F586A"/>
    <w:rPr>
      <w:vertAlign w:val="superscript"/>
    </w:rPr>
  </w:style>
  <w:style w:type="character" w:styleId="Hyperlink">
    <w:name w:val="Hyperlink"/>
    <w:basedOn w:val="DefaultParagraphFont"/>
    <w:uiPriority w:val="99"/>
    <w:unhideWhenUsed/>
    <w:rsid w:val="00792B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6A0"/>
    <w:pPr>
      <w:ind w:left="720"/>
      <w:contextualSpacing/>
    </w:pPr>
  </w:style>
  <w:style w:type="paragraph" w:styleId="FootnoteText">
    <w:name w:val="footnote text"/>
    <w:basedOn w:val="Normal"/>
    <w:link w:val="FootnoteTextChar"/>
    <w:uiPriority w:val="99"/>
    <w:semiHidden/>
    <w:unhideWhenUsed/>
    <w:rsid w:val="007F58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86A"/>
    <w:rPr>
      <w:sz w:val="20"/>
      <w:szCs w:val="20"/>
    </w:rPr>
  </w:style>
  <w:style w:type="character" w:styleId="FootnoteReference">
    <w:name w:val="footnote reference"/>
    <w:basedOn w:val="DefaultParagraphFont"/>
    <w:uiPriority w:val="99"/>
    <w:semiHidden/>
    <w:unhideWhenUsed/>
    <w:rsid w:val="007F586A"/>
    <w:rPr>
      <w:vertAlign w:val="superscript"/>
    </w:rPr>
  </w:style>
  <w:style w:type="character" w:styleId="Hyperlink">
    <w:name w:val="Hyperlink"/>
    <w:basedOn w:val="DefaultParagraphFont"/>
    <w:uiPriority w:val="99"/>
    <w:unhideWhenUsed/>
    <w:rsid w:val="00792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axfoundation.org/toolkit-sources-state-local-tax-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78B0E-4ED4-405B-9DCF-69E290B1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Classroom-Law</dc:creator>
  <cp:lastModifiedBy>Classroom-Law</cp:lastModifiedBy>
  <cp:revision>4</cp:revision>
  <dcterms:created xsi:type="dcterms:W3CDTF">2018-06-11T00:00:00Z</dcterms:created>
  <dcterms:modified xsi:type="dcterms:W3CDTF">2018-08-06T17:09:00Z</dcterms:modified>
</cp:coreProperties>
</file>